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https://www.autoritedelaconcurrence.fr/fr/decision-de-controle-des-concentrations/relative-la-prise-de-controle-exclusif-de-la-societe-lyon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26-DCC-77 of March 27, 2026  </w:t>
        <w:br/>
        <w:t xml:space="preserve">regarding the exclusive control acquisition of the company Lyon Select  </w:t>
        <w:br/>
        <w:t xml:space="preserve">by the company Convergence  </w:t>
        <w:br/>
        <w:t xml:space="preserve">The Competition Authority,  </w:t>
        <w:br/>
        <w:t xml:space="preserve">Having regard to the complete notification file submitted to the mergers department on March 12, 2026,  </w:t>
        <w:br/>
        <w:t xml:space="preserve">concerning the exclusive control acquisition of the company Lyon Select by the company Convergence,  </w:t>
        <w:br/>
        <w:t xml:space="preserve">formalized by a share transfer and acquisition agreement dated March 6, 2026;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other documents in the file;  </w:t>
        <w:br/>
        <w:t xml:space="preserve">Adopts the following decision:  </w:t>
        <w:br/>
        <w:t xml:space="preserve">1. The notified operation consists of the exclusive control acquisition by the company Convergence of the  </w:t>
        <w:br/>
        <w:t xml:space="preserve">company Lyon Select, active in the sector of fresh fruit and vegetable trading. Given  </w:t>
        <w:br/>
        <w:t xml:space="preserve">the revenues generated by the companies concerned, the operation does not fall under the  </w:t>
        <w:br/>
        <w:t xml:space="preserve">jurisdiction of the European Union. On the other hand, the control thresholds mentioned in I of  </w:t>
        <w:br/>
        <w:t xml:space="preserve">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26-033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