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https://www.autoritedelaconcurrence.fr/fr/decision-de-controle-des-concentrations/relative-la-prise-de-controle-exclusif-de-la-societe-m2i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25-DCC-71 of March 27, 2025</w:t>
        <w:br/>
        <w:t>regarding the exclusive control acquisition of the company M2i</w:t>
        <w:br/>
        <w:t>by the company Eduinvest</w:t>
        <w:br/>
        <w:t>The Competition Authority,</w:t>
        <w:br/>
        <w:t>Having regard to the complete notification file submitted to the mergers department on February 21, 2025,</w:t>
        <w:br/>
        <w:t>concerning the exclusive control acquisition of the company M2i by the company Eduinvest, formalized by</w:t>
        <w:br/>
        <w:t>a share purchase agreement dated February 3,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Eduinvest SAS, via</w:t>
        <w:br/>
        <w:t>its subsidiary Eductive SAS, of the company M2i. Eduinvest and M2i are active in the markets of initial training and continuing professional education.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25-051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