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https://www.autoritedelaconcurrence.fr/fr/decision-de-controle-des-concentrations/relative-la-prise-de-controle-exclusif-de-la-societe-macy</w:t>
      </w:r>
    </w:p>
    <w:p>
      <w:r>
        <w:t>Pages translated : 2</w:t>
      </w:r>
    </w:p>
    <w:p/>
    <w:p>
      <w:r>
        <w:rPr>
          <w:b/>
        </w:rPr>
        <w:t>[Pages 1–2]</w:t>
      </w:r>
    </w:p>
    <w:p>
      <w:r>
        <w:t xml:space="preserve">FRENCH REPUBLIC  </w:t>
        <w:br/>
        <w:t xml:space="preserve">Decision No. 15-DCC-112 of August 13, 2015  </w:t>
        <w:br/>
        <w:t xml:space="preserve">regarding the exclusive control acquisition of the company Macy by ITM Alimentaire Sud Est  </w:t>
        <w:br/>
        <w:t xml:space="preserve">The Competition Authority,  </w:t>
        <w:br/>
        <w:t xml:space="preserve">Having regard to the notification file sent complete to the mergers department on July 17, 2015,  </w:t>
        <w:br/>
        <w:t xml:space="preserve">concerning the exclusive control acquisition of the company Macy, materialized by a unilateral  </w:t>
        <w:br/>
        <w:t xml:space="preserve">purchase promise dated February 17, 2009, and an option exercise on April 24,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Macy, operating in  </w:t>
        <w:br/>
        <w:t xml:space="preserve">Saint-Romain-en-Viennois (84) a food-dominant retail outlet under the Intermarché brand, by the company ITM Alimentaire Sud Est.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15-124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