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https://www.autoritedelaconcurrence.fr/fr/decision-de-controle-des-concentrations/relative-la-prise-de-controle-exclusif-de-la-societe-madif</w:t>
      </w:r>
    </w:p>
    <w:p>
      <w:r>
        <w:t>Pages translated : 2</w:t>
      </w:r>
    </w:p>
    <w:p/>
    <w:p>
      <w:r>
        <w:rPr>
          <w:b/>
        </w:rPr>
        <w:t>[Pages 1–2]</w:t>
      </w:r>
    </w:p>
    <w:p>
      <w:r>
        <w:t xml:space="preserve">FRENCH REPUBLIC  </w:t>
        <w:br/>
        <w:t xml:space="preserve">Decision No. 25-DCC-120 of May 21, 2025  </w:t>
        <w:br/>
        <w:t>regarding the exclusive control acquisition of the company Madif by ITM Enterprises</w:t>
      </w:r>
    </w:p>
    <w:p>
      <w:r>
        <w:t>The Competition Authority,</w:t>
      </w:r>
    </w:p>
    <w:p>
      <w:r>
        <w:t>Having regard to the notification file sent to the mergers department on March 14, 2025, and declared complete on April 16, 2025, concerning the exclusive control acquisition of the company Madif by ITM Enterprises, formalized by the takeover offer from ITM Enterprises on March 14, 2025, and the judgment of the Commercial Court of Quimper on April 16,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ITM Enterprises, and its subsidiaries ITM Alimentaire International and Jucar, of all the shares of the company Madif, which operates a retail business predominantly in food under the Intermarché brand, with a surface area of 3,480 m², located in Douarnenez (29100). This operation constitutes a concentration within the meaning of Article L. 430-1 of the Commercial Code. Given the turnover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25-074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