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https://www.autoritedelaconcurrence.fr/fr/decision-de-controle-des-concentrations/relative-la-prise-de-controle-exclusif-de-la-societe-maepso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12-DCC-81 of June 8, 2012  </w:t>
        <w:br/>
        <w:t xml:space="preserve">regarding the exclusive control acquisition of the company Maepso by the  </w:t>
        <w:br/>
        <w:t xml:space="preserve">company ITM Alimentaire Région Parisienne  </w:t>
        <w:br/>
        <w:t xml:space="preserve">The Competition Authority,  </w:t>
        <w:br/>
        <w:t xml:space="preserve">Having regard to the complete notification file sent to the mergers department on May 2, 2012,  </w:t>
        <w:br/>
        <w:t xml:space="preserve">concerning the exclusive control acquisition of the company Maepso by the company ITM Alimentaire Région Parisienne formalized by a transfer protocol dated April 3, 2012;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company Maepso, operating a predominantly food distribution business, under the Intermarché brand, with a surface area of 3,275 m² in the city of Evreux (27), by the company ITM Alimentaire Région Parisienne and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12-069 is authorized.  </w:t>
        <w:br/>
        <w:t xml:space="preserve">The Vice-President,  </w:t>
        <w:br/>
        <w:t xml:space="preserve">Anne Perrot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