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https://www.autoritedelaconcurrence.fr/fr/decision-de-controle-des-concentrations/relative-la-prise-de-controle-exclusif-de-la-societe-magot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17-DCC-121 of August 7, 2017  </w:t>
        <w:br/>
        <w:t xml:space="preserve">regarding the exclusive control acquisition of the company Magot Cavard by  </w:t>
        <w:br/>
        <w:t xml:space="preserve">the company Eden Auto  </w:t>
        <w:br/>
        <w:t xml:space="preserve">The Competition Authority,  </w:t>
        <w:br/>
        <w:t xml:space="preserve">Having regard to the notification file submitted in full to the mergers department on July 19, 2017,  </w:t>
        <w:br/>
        <w:t xml:space="preserve">concerning the exclusive control acquisition of the company Magot Cavard by the company Eden Auto,  </w:t>
        <w:br/>
        <w:t xml:space="preserve">formalized by a letter of intent dated June 6,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Eden Auto of the  </w:t>
        <w:br/>
        <w:t xml:space="preserve">company Magot Cavard, which is active in the sectors of distribution and repair of  </w:t>
        <w:br/>
        <w:t xml:space="preserve">automobiles of the brands Toyota and Kia in the department of Dordogne (24).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mentioned  </w:t>
        <w:br/>
        <w:t xml:space="preserve">in II of Article L. 430-2 of the Commercial Code are exceeded. The present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17-143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