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https://www.autoritedelaconcurrence.fr/fr/decision-de-controle-des-concentrations/relative-la-prise-de-controle-exclusif-de-la-societe-marcel</w:t>
      </w:r>
    </w:p>
    <w:p>
      <w:r>
        <w:t>Pages translated : 2</w:t>
      </w:r>
    </w:p>
    <w:p/>
    <w:p>
      <w:r>
        <w:rPr>
          <w:b/>
        </w:rPr>
        <w:t>[Pages 1–2]</w:t>
      </w:r>
    </w:p>
    <w:p>
      <w:r>
        <w:t>FRENCH REPUBLIC</w:t>
        <w:br/>
        <w:t>Decision No. 21-DCC-16 of January 25, 2021</w:t>
        <w:br/>
        <w:t>regarding the exclusive control acquisition of the company Marcel &amp; Fils by the</w:t>
        <w:br/>
        <w:t>company Weinberg Capital Partners</w:t>
        <w:br/>
        <w:t>The Competition Authority,</w:t>
        <w:br/>
        <w:t>Having regard to the complete notification file submitted to the mergers department on January 5, 2021,</w:t>
        <w:br/>
        <w:t>concerning the exclusive control acquisition of the company Marcel &amp; Fils by the company Weinberg Capital</w:t>
        <w:br/>
        <w:t>Partners, formalized by a share transfer agreement dated December 16, 2020;</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company Weinberg Capital</w:t>
        <w:br/>
        <w:t>Partners of the company Marcel &amp; Fils, primarily active in the markets of commercial catering and the retail distribution of food-related products.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21-002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