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https://www.autoritedelaconcurrence.fr/fr/decision-de-controle-des-concentrations/relative-la-prise-de-controle-exclusif-de-la-societe-marco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17-DCC-180 of November 8, 2017  </w:t>
        <w:br/>
        <w:t xml:space="preserve">regarding the exclusive control acquisition of the company Marco Vasco by the  </w:t>
        <w:br/>
        <w:t xml:space="preserve">Groupe Figaro  </w:t>
        <w:br/>
        <w:t xml:space="preserve">The Competition Authority,  </w:t>
        <w:br/>
        <w:t xml:space="preserve">Having regard to the complete notification file sent to the mergers department on October 19, 2017,  </w:t>
        <w:br/>
        <w:t xml:space="preserve">concerning the exclusive control acquisition of the company Marco Vasco by the company Groupe Figaro,  </w:t>
        <w:br/>
        <w:t xml:space="preserve">formalized by a share acquisition contract dated October 2,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Marco Vasco by the  </w:t>
        <w:br/>
        <w:t xml:space="preserve">company Groupe Figaro (a subsidiary of the Dassault group), which are simultaneously active in  </w:t>
        <w:br/>
        <w:t xml:space="preserve">the travel services sector. It constitutes a concentration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The markets concerned by the operation are the markets for the supply of tour operators, the design-sale  </w:t>
        <w:br/>
        <w:t xml:space="preserve">of leisure package trips, particularly in a potential segment of "tailor-made" package trips, as well as the  </w:t>
        <w:br/>
        <w:t xml:space="preserve">market for travel agency services. These markets are consistently defined by the decision-making practice of  </w:t>
        <w:br/>
        <w:t xml:space="preserve">the Competition Authority.  </w:t>
        <w:br/>
        <w:t xml:space="preserve">3. Regardless of the segmentations retained, the market shares of the new entity estimated by the parties are  </w:t>
        <w:br/>
        <w:t xml:space="preserve">below 16%.  </w:t>
        <w:br/>
        <w:t xml:space="preserve">4. Considering the elements of the file and in particular paragraph 384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17-201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