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https://www.autoritedelaconcurrence.fr/fr/decision-de-controle-des-concentrations/relative-la-prise-de-controle-exclusif-de-la-societe-masyl</w:t>
      </w:r>
    </w:p>
    <w:p>
      <w:r>
        <w:t>Pages translated : 2</w:t>
      </w:r>
    </w:p>
    <w:p/>
    <w:p>
      <w:r>
        <w:rPr>
          <w:b/>
        </w:rPr>
        <w:t>[Pages 1–2]</w:t>
      </w:r>
    </w:p>
    <w:p>
      <w:r>
        <w:t>FRENCH REPUBLIC</w:t>
        <w:br/>
        <w:t>Decision No. 24-DCC-95 of May 13, 2024</w:t>
        <w:br/>
        <w:t>regarding the exclusive control acquisition of the company Masyl by the company</w:t>
        <w:br/>
        <w:t>ITM Entreprises</w:t>
        <w:br/>
        <w:t>The Competition Authority,</w:t>
        <w:br/>
        <w:t>Having regard to the complete notification file submitted to the mergers department on April 23, 2024,</w:t>
        <w:br/>
        <w:t>concerning the exclusive control acquisition of the company Masyl by the company ITM Entreprises,</w:t>
        <w:br/>
        <w:t>formalized by a share transfer agreement signed on April 15, 18, and 22, 2024.</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ITM Entreprises of</w:t>
        <w:br/>
        <w:t>the company Masyl, which operates a retail business of supermarket type with a surface area of 2,150 m2 in Chagny (71).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24-110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