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https://www.autoritedelaconcurrence.fr/fr/decision-de-controle-des-concentrations/relative-la-prise-de-controle-exclusif-de-la-societe-matis</w:t>
      </w:r>
    </w:p>
    <w:p>
      <w:r>
        <w:t>Pages translated : 6</w:t>
      </w:r>
    </w:p>
    <w:p/>
    <w:p>
      <w:r>
        <w:rPr>
          <w:b/>
        </w:rPr>
        <w:t>[Pages 1–3]</w:t>
      </w:r>
    </w:p>
    <w:p>
      <w:r>
        <w:t xml:space="preserve">FRENCH REPUBLIC  </w:t>
        <w:br/>
        <w:t xml:space="preserve">Decision No. 15-DCC-100 of July 22, 2015  </w:t>
        <w:br/>
        <w:t xml:space="preserve">regarding the exclusive control of the company Matis by the company  </w:t>
        <w:br/>
        <w:t xml:space="preserve">Akka Technologies  </w:t>
        <w:br/>
        <w:t xml:space="preserve">The Competition Authority,  </w:t>
        <w:br/>
        <w:t xml:space="preserve">Having regard to the notification file submitted in full to the merger service on June 26, 2015,  </w:t>
        <w:br/>
        <w:t xml:space="preserve">regarding the exclusive control of the company Matis by the company Akka Technologies,  </w:t>
        <w:br/>
        <w:t xml:space="preserve">formalized by a conciliation protocol dated July 3, 2015;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Akka Technologies (hereinafter "Akka") is a holding company of the Ricci family group,  </w:t>
        <w:br/>
        <w:t xml:space="preserve">acting in concert, specialized in the field of engineering and technology consulting.  </w:t>
        <w:br/>
        <w:t xml:space="preserve">The range of services offered by Akka covers each stage of a product's life, from  </w:t>
        <w:br/>
        <w:t xml:space="preserve">design to industrialization. Its clients belong to various industrial sectors,  </w:t>
        <w:br/>
        <w:t xml:space="preserve">primarily aeronautics, aerospace, automotive, equipment manufacturers, and railways.  </w:t>
        <w:br/>
        <w:t xml:space="preserve">2. The public limited company Modélisation Assistance Technique Informatique et Scientifique (hereinafter  </w:t>
        <w:br/>
        <w:t xml:space="preserve">" Matis") is 60.08% owned by Matis Holding and 39.92% by individuals Mr. [X] ([…] %), Mr. [Y] ([…] %), Mr. [Z] ([…] %) and other  </w:t>
        <w:br/>
        <w:t xml:space="preserve">shareholders ([…] %). Matis is active in the field of engineering and consulting in  </w:t>
        <w:br/>
        <w:t xml:space="preserve">advanced technologies for industries and services. Its activities revolve around two  </w:t>
        <w:br/>
        <w:t xml:space="preserve">areas of expertise: the "Technology" area, which covers technical and  </w:t>
        <w:br/>
        <w:t xml:space="preserve">scientific engineering consulting throughout all stages of the product life cycle, and the "IT" area, which covers  </w:t>
        <w:br/>
        <w:t xml:space="preserve">consulting in information systems and networks engineering throughout all stages of the  </w:t>
        <w:br/>
        <w:t xml:space="preserve">life cycle of IT and telecommunications systems.  </w:t>
        <w:br/>
        <w:t xml:space="preserve">3. Under the conciliation protocol dated July 3, 2015, it is provided that the company  </w:t>
        <w:br/>
        <w:t>Akka acquires […] % of the capital and voting rights of Matis. As it results in the</w:t>
      </w:r>
    </w:p>
    <w:p>
      <w:r>
        <w:t xml:space="preserve">exclusive control of Matis by Akka, the notified operation constitutes a concentration  </w:t>
        <w:br/>
        <w:t xml:space="preserve">within the meaning of Article L. 430-1 of the Commercial Code.  </w:t>
        <w:br/>
        <w:t xml:space="preserve">4. The companies concerned have together achieved a consolidated worldwide turnover of more than 150 million euros in the last closed financial year (Akka: 885.6  </w:t>
        <w:br/>
        <w:t xml:space="preserve">million euros for the financial year ended December 31, 2014; Matis: 82.6 million euros  </w:t>
        <w:br/>
        <w:t xml:space="preserve">for the financial year ended December 31, 2014). Each of these companies has achieved, in France,  </w:t>
        <w:br/>
        <w:t xml:space="preserve">a turnover exceeding 50 million euros (Akka: 440.5 million euros; Matis:  </w:t>
        <w:br/>
        <w:t xml:space="preserve">54.2 million euros). Given these turnovers, the operation does not fall under the  </w:t>
        <w:br/>
        <w:t xml:space="preserve">jurisdiction of the European Union. However, the control thresholds mentioned in I of  </w:t>
        <w:br/>
        <w:t xml:space="preserve">Article L. 430-2 of the Commercial Code are exceeded. This operation is therefore subject to the  </w:t>
        <w:br/>
        <w:t xml:space="preserve">provisions of Articles L. 430-3 and following of the Commercial Code relating to economic concentration.  </w:t>
        <w:br/>
        <w:t xml:space="preserve">II. Delimitation of relevant markets  </w:t>
        <w:br/>
        <w:t xml:space="preserve">5. The parties to the operation are simultaneously present in the markets of engineering and  </w:t>
        <w:br/>
        <w:t xml:space="preserve">technical studies as well as in the markets for IT services.  </w:t>
        <w:br/>
        <w:t xml:space="preserve">A. DELIMITATION OF SERVICE MARKETS  </w:t>
        <w:br/>
        <w:t xml:space="preserve">1. MARKETS FOR ENGINEERING AND TECHNICAL STUDIES  </w:t>
        <w:br/>
        <w:t xml:space="preserve">6. Engineering and technical study services correspond to all the services  </w:t>
        <w:br/>
        <w:t xml:space="preserve">provided during the life cycle of a product, at each stage of project management (R&amp;D,  </w:t>
        <w:br/>
        <w:t xml:space="preserve">development, engineering and process, realization, operation, and maintenance)1. These services  </w:t>
        <w:br/>
        <w:t xml:space="preserve">are found in many fields such as industry, energy, transport,  </w:t>
        <w:br/>
        <w:t xml:space="preserve">environment, construction, and public services.  </w:t>
        <w:br/>
        <w:t xml:space="preserve">7. Competition authorities, both French2 and community3, have already had the opportunity to  </w:t>
        <w:br/>
        <w:t xml:space="preserve">rule on concentration operations in the field of engineering and  </w:t>
        <w:br/>
        <w:t xml:space="preserve">technical study services4 and they5 have considered several segmentations without definitively deciding  </w:t>
        <w:br/>
        <w:t xml:space="preserve">1 See notably the letters from the Minister of Economy dated April 29, 2003, to the board of the company Assystem regarding a concentration in  </w:t>
        <w:br/>
        <w:t xml:space="preserve">the engineering sector and dated November 27, 2003, to the boards of the company Brime Technologies, regarding a concentration in the field  </w:t>
        <w:br/>
        <w:t xml:space="preserve">of consulting and engineering, as well as the decisions of the Competition Authority No. 09-DCC-71 of December 8, 2009, regarding the merger  </w:t>
        <w:br/>
        <w:t xml:space="preserve">of the Coteba group and the Sogreah group, No. 10-DCC-164 of November 18, 2010, regarding the exclusive control of IOSIS Holding by  </w:t>
        <w:br/>
        <w:t xml:space="preserve">EGIS SA, and No. 11-DCC-20 of February 7, 2011, regarding the exclusive control of the APTUS group by the AUSY group.  </w:t>
        <w:br/>
        <w:t xml:space="preserve">2 See the letters from the Minister of Economy dated April 29, 2003, and November 27, 2003, as well as September 10, 2003, to the boards  </w:t>
        <w:br/>
        <w:t xml:space="preserve">of the company Pininfarina, regarding a concentration in the fields of design and automotive engineering, and October 19, 2007, to the  </w:t>
        <w:br/>
        <w:t xml:space="preserve">board of the company Akka Technologies.  </w:t>
        <w:br/>
        <w:t xml:space="preserve">3 Decision of the European Commission No. M.2645 Saab / WM-Data AB / Saab Caran / JV of December 6, 2001.  </w:t>
        <w:br/>
        <w:t xml:space="preserve">4 Decisions of the Competition Authority No. 09-DCC-71, No. 10-DCC-164, and No. 11-DCC-20 mentioned above, as well as No. 11-DCC-131 of September 1, 2011, regarding the exclusive control of the company Aéroconseil by the company Akka Technologies and No. 15-DCC-19 of February 27, 2014, regarding the exclusive control of the Abylsen group by the Naxicap Partners group.  </w:t>
        <w:br/>
        <w:t xml:space="preserve">5 Notably the decisions of the Competition Authority No. 10-DCC-164 mentioned above and No. 14-DCC-08 of January 22, 2014, regarding the exclusive control by the Ortec group of the company Financière Sonovision, as well as the decision M.2645 mentioned above.  </w:t>
        <w:br/>
        <w:t>2</w:t>
      </w:r>
    </w:p>
    <w:p>
      <w:r>
        <w:t xml:space="preserve">the question. They thus considered defining a market for technology consulting6, a  </w:t>
        <w:br/>
        <w:t xml:space="preserve">market for project management assistance, distinct from other engineering and  </w:t>
        <w:br/>
        <w:t xml:space="preserve">technical study services. They also questioned the relevance of segmenting  </w:t>
        <w:br/>
        <w:t xml:space="preserve">the engineering services market based on sectors of intervention. In this regard, the  </w:t>
        <w:br/>
        <w:t xml:space="preserve">services offered respectively in the sectors of aeronautics, defense, telecommunications,  </w:t>
        <w:br/>
        <w:t xml:space="preserve">energy, rail, transport, industry, banking, and insurance can be considered as so many relevant markets7. Within  </w:t>
        <w:br/>
        <w:t xml:space="preserve">some of these sectors, notably the aerospace sector, the European Commission8 has  </w:t>
        <w:br/>
        <w:t xml:space="preserve">considered a sub-segmentation between general technical studies and specialized technical studies.  </w:t>
        <w:br/>
        <w:t xml:space="preserve">8. In this case, the parties to the operation are simultaneously active in the engineering  </w:t>
        <w:br/>
        <w:t xml:space="preserve">and technical studies market targeting the aeronautics and aerospace sectors, energy,  </w:t>
        <w:br/>
        <w:t xml:space="preserve">rail, automotive, health, telecommunications, and defense.  </w:t>
        <w:br/>
        <w:t xml:space="preserve">9. The exact delimitation of the engineering and technical studies markets can, however, be  </w:t>
        <w:br/>
        <w:t xml:space="preserve">left open as the conclusions of the competitive analysis remain unchanged regardless of the  </w:t>
        <w:br/>
        <w:t xml:space="preserve">hypothesis adopted.  </w:t>
        <w:br/>
        <w:t xml:space="preserve">2. MARKETS FOR IT SERVICES  </w:t>
        <w:br/>
        <w:t xml:space="preserve">10. The decision-making practice, both European9 and national10, has already had the opportunity to  </w:t>
        <w:br/>
        <w:t xml:space="preserve">rule on the delimitation of relevant markets in the IT services sector. It has nevertheless left open, in each case, the exact delimitation of  </w:t>
        <w:br/>
        <w:t xml:space="preserve">the relevant markets.  </w:t>
        <w:br/>
        <w:t xml:space="preserve">11. It has thus identified, within the IT services market, seven functional categories of services: (i) global management services also known as  </w:t>
        <w:br/>
        <w:t xml:space="preserve">"outsourcing" or "system management services" which include operational services, applied management, technical assistance management,  </w:t>
        <w:br/>
        <w:t xml:space="preserve">business continuity management, asset management, outsourcing, and scalable leasing11; (ii) enterprise management services also known as "process management" or "business process outsourcing" (BPO); (iii) software development and integration, consisting of  </w:t>
        <w:br/>
        <w:t xml:space="preserve">developing existing software based on specific client requirements; (iv)  </w:t>
        <w:br/>
        <w:t xml:space="preserve">6 See the letter from the Minister of Economy dated October 19, 2007, mentioned above.  </w:t>
        <w:br/>
        <w:t xml:space="preserve">7 See notably the letter from the Minister of Economy dated November 27, 2003, and the decisions No. 11-DCC-131 and No. 14-DCC-08 mentioned above.  </w:t>
        <w:br/>
        <w:t xml:space="preserve">8 Decision of the European Commission M.2645 mentioned above.  </w:t>
        <w:br/>
        <w:t xml:space="preserve">9 Decisions of the European Commission M.2365 Schlumberger / Sema of April 4, 2001, M.2609 HP / Compaq of January 31, 2002, M.3555  </w:t>
        <w:br/>
        <w:t xml:space="preserve">Hewlett – Packard / Synstar of September 9, 2004, M.3571 IBM / Maerskdate / DMData of November 18, 2004, M.3995 Belgacom /  </w:t>
        <w:br/>
        <w:t xml:space="preserve">Telindus of December 1, 2005, M.5197 HP / EDS of July 25, 2008, and M.5301 Cap Gemini / BAS of October 13, 2008.  </w:t>
        <w:br/>
        <w:t xml:space="preserve">10 See, for example, the decisions of the Competition Authority No. 15-DCC-02 of January 22, 2015, regarding the exclusive control of the user support and workstation activities of the companies Atos A2B and Atos Infigérance by the company Proservia WorkStation Services, No. 14-DCC-181 of December 9, 2014, regarding the exclusive control of the companies of the Desk Group and Holding Lease France by Naxicap Partners, No. 14-DCC-56 of April 14, 2014, regarding the exclusive control of the company Groupe Euriware by the company Capgemini France, No. 14-DCC-17 of February 13, 2014, regarding the exclusive control by the company ITS Group of certain assets of the companies Overlap Groupe, Overlap, and Exterinfo, No. 13-DCC-100 of August 7, 2012, regarding the exclusive control of the company Osiatis by the company Econocom Group, No. 13-DCC-56 of May 2, 2013, regarding the exclusive control of the company Alti SA by the company Tata Consultancy Services Netherlands BV, No. 12-DCC-132 of September 7, 2012, regarding the exclusive control of the company ESR by the company Osiatis, No. 12-DCC-113 of August 9, 2012, regarding the exclusive control of the company APX by the company SPIE Communications, No. 11-DCC-139 of September 20, 2011, regarding the exclusive control of the company Large Network Administration and its subsidiary LGD by the company SCC France, No. 11-DCC-20 mentioned above, and No. 09-DCC-93 of December 31, 2009, regarding the acquisition by the company Bull SA of assets from the company Crescendo Industries.  </w:t>
        <w:br/>
        <w:t xml:space="preserve">11 Scalable leasing (operating lease) allows adjusting the duration of the operation to the actual lifespan of the equipment in the company.  </w:t>
        <w:br/>
        <w:t>3</w:t>
      </w:r>
    </w:p>
    <w:p>
      <w:r>
        <w:rPr>
          <w:b/>
        </w:rPr>
        <w:t>[Pages 4–6]</w:t>
      </w:r>
    </w:p>
    <w:p>
      <w:r>
        <w:t xml:space="preserve">consulting services, which include technical services on network architecture, planning, or project management assistance; (v) software maintenance and logistical support; (vi) hardware maintenance and logistical support; and (vii) teaching and training.  </w:t>
        <w:br/>
        <w:t xml:space="preserve">12. Different alternative or complementary segmentations have also been considered according to:  </w:t>
        <w:br/>
        <w:t xml:space="preserve">- the type of clientele, SMEs/SMIs or large accounts;  </w:t>
        <w:br/>
        <w:t xml:space="preserve">- the types of information and communication systems: (i) management application systems, which include IT services used to fulfill a horizontal function within companies or administrations; (ii) embedded industrial technical scientific application systems; (iii) generic application systems; (iv) IT infrastructure systems; and (v) communication infrastructure and enterprise network systems;  </w:t>
        <w:br/>
        <w:t xml:space="preserve">- the sector of activity, namely: (i) communications, (ii) education, (iii) energy and local networks, (iv) financial services, (v) the public sector, (vi) health, (vii) industry, (viii) commerce and distribution, (ix) services, and (x) transport.  </w:t>
        <w:br/>
        <w:t xml:space="preserve">13. The activities of the parties overlap in three functional categories, namely software development and integration services, IT consulting, and software maintenance and logistical support. They both target a clientele primarily composed of large companies. They are active in all types of information and communication systems.  </w:t>
        <w:br/>
        <w:t xml:space="preserve">14. There is no need to precisely delineate the markets for IT services, as the conclusions of the competitive analysis remain unchanged, regardless of the segmentations retained.  </w:t>
        <w:br/>
        <w:t xml:space="preserve">B. DELIMITATION OF GEOGRAPHICAL MARKETS  </w:t>
        <w:br/>
        <w:t xml:space="preserve">1. MARKETS FOR ENGINEERING AND TECHNICAL STUDIES  </w:t>
        <w:br/>
        <w:t xml:space="preserve">15. Regarding the market for engineering and technical studies, while practice has generally retained markets of national dimension12, it has also considered that they could be of sub-national dimension13 depending on the type of clientele and the missions concerned.  </w:t>
        <w:br/>
        <w:t xml:space="preserve">16. In this case, the notifying party specifies that concerning cutting-edge technologies, the main clients of the parties to the operation are industrial groups of at least national dimension. The analysis will therefore be conducted at the national level, noting that the question of the exact geographical delineation of the markets for engineering and technical studies may be left open in the absence of competitive issues.  </w:t>
        <w:br/>
        <w:t xml:space="preserve">12 Decision of the Competition Authority No. 10-DCC-164 cited above.  </w:t>
        <w:br/>
        <w:t xml:space="preserve">13 Decision of the Competition Authority No. 09-DCC-71 cited above.  </w:t>
        <w:br/>
        <w:t>4</w:t>
      </w:r>
    </w:p>
    <w:p>
      <w:r>
        <w:t xml:space="preserve">2. MARKETS FOR IT SERVICES  </w:t>
        <w:br/>
        <w:t xml:space="preserve">17. Competition authorities14 have repeatedly held that the markets for IT services are of national dimension, notably due to the necessity for service providers to communicate regularly in the language of their clients and to maintain a relative proximity to them. However, they have noted a certain internationalization of supply and demand.  </w:t>
        <w:br/>
        <w:t xml:space="preserve">18. There is no need to revisit this national delineation of the markets in the context of the present operation.  </w:t>
        <w:br/>
        <w:t xml:space="preserve">III. Competitive Analysis  </w:t>
        <w:br/>
        <w:t xml:space="preserve">1. ON THE MARKETS FOR ENGINEERING AND TECHNICAL STUDIES  </w:t>
        <w:br/>
        <w:t xml:space="preserve">19. As already noted by the Competition Authority15, in the field of engineering and technical studies, the supply is particularly heterogeneous and fragmented. Among the operators for whom engineering constitutes the main activity, the specialized subsidiaries of large industrial groups as well as consulting firms of varying sizes must be taken into account.  </w:t>
        <w:br/>
        <w:t xml:space="preserve">20. In the national market for engineering and technical studies, across all sectors of activity, the notifying party estimated the market shares of the new entity in 2014 at [0-5]% for Akka and [0-5]% for Matis, resulting in a combined market share of [0-5]%16.  </w:t>
        <w:br/>
        <w:t xml:space="preserve">21. In the more restricted market for engineering and technology consulting17, the market shares of Akka and Matis are estimated at [0-5]% and [0-5]%, respectively, resulting in a post-operation position of [5-10]%.  </w:t>
        <w:br/>
        <w:t xml:space="preserve">22. If any segments of the market for engineering and technical studies by sector of activity were to be retained, the market share of the new entity would be below 15% regardless of the segment considered. The notifying party also indicates that the increment in market share attributed to Matis is limited in each of these sectors, with at best an increment of [0-5]% in the rail sector and [0-5]% in the health, medical, and chemical sectors.  </w:t>
        <w:br/>
        <w:t xml:space="preserve">23. Following the operation, Akka will continue to face competition from operators such as Altran, Alten, Assystem, SII, or Sogeclair. The notifying party also indicates that the clients of the parties to the operation have strong purchasing power, most of them awarding their missions through calls for tenders.  </w:t>
        <w:br/>
        <w:t xml:space="preserve">24. Therefore, the operation is not likely to harm competition in the markets for engineering and technical studies.  </w:t>
        <w:br/>
        <w:t xml:space="preserve">14 See the aforementioned decisions.  </w:t>
        <w:br/>
        <w:t xml:space="preserve">15 See for example the decision of the Competition Authority No. 11-DCC-20 cited above as well as Decision No. 14-DCC-08 of January 22, 2014.  </w:t>
        <w:br/>
        <w:t xml:space="preserve">16 The parties estimated their positions based on statistics published by INSEE, according to which the French engineering market generated a turnover of 44.5 billion euros in 2012.  </w:t>
        <w:br/>
        <w:t xml:space="preserve">17 According to Syntec-Ingénierie, the French technology consulting market represents approximately 8.4 billion euros in 2014.  </w:t>
        <w:br/>
        <w:t>5</w:t>
      </w:r>
    </w:p>
    <w:p>
      <w:r>
        <w:t xml:space="preserve">2. ON THE MARKETS FOR IT SERVICES  </w:t>
        <w:br/>
        <w:t xml:space="preserve">25. In the overall market for IT services, the notifying party estimated the market share of the new entity to be less than [0-5]%.  </w:t>
        <w:br/>
        <w:t xml:space="preserve">26. Regarding the possible segmentations considered for this market, the notifying party indicates that the market share of the new entity will remain below [0-5]% regardless of the segment considered. It also specifies that the new entity will continue to face larger operators in this sector such as Altran or Alten.  </w:t>
        <w:br/>
        <w:t xml:space="preserve">27. Therefore, the operation is not likely to harm competition in the relevant IT services markets.  </w:t>
        <w:br/>
        <w:t xml:space="preserve">DECIDES  </w:t>
        <w:br/>
        <w:t xml:space="preserve">Sole Article: The operation notified under number 15-102 is authorized.  </w:t>
        <w:br/>
        <w:t xml:space="preserve">The President,  </w:t>
        <w:br/>
        <w:t xml:space="preserve">Bruno Lasserre  </w:t>
        <w:br/>
        <w:t xml:space="preserve">© Competition Authority  </w:t>
        <w:b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