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https://www.autoritedelaconcurrence.fr/fr/decision-de-controle-des-concentrations/relative-la-prise-de-controle-exclusif-de-la-societe-maxeli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12-DCC-30 of March 5, 2012  </w:t>
        <w:br/>
        <w:t xml:space="preserve">regarding the exclusive control acquisition of the company Maxeli by the  </w:t>
        <w:br/>
        <w:t xml:space="preserve">company ITM Alimentaire Centre Est  </w:t>
        <w:br/>
        <w:t xml:space="preserve">The Competition Authority,  </w:t>
        <w:br/>
        <w:t xml:space="preserve">Having regard to the complete notification file sent to the mergers department on February 13, 2012,  </w:t>
        <w:br/>
        <w:t xml:space="preserve">concerning the exclusive control acquisition of the company Maxeli by the company ITM Alimentaire  </w:t>
        <w:br/>
        <w:t xml:space="preserve">Centre Est, materialized by the signing of a social rights transfer protocol, dated  </w:t>
        <w:br/>
        <w:t xml:space="preserve">January 30,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exclusive control of the company Maxeli,  </w:t>
        <w:br/>
        <w:t xml:space="preserve">operating a distribution business predominantly in food, under the brand Intermarché, with an area  </w:t>
        <w:br/>
        <w:t xml:space="preserve">of 2,901 m² and located in the city of Le Touvet (38), by ITM Alimentaire Centre Est. It constitutes a  </w:t>
        <w:br/>
        <w:t xml:space="preserve">concentration operation within the meaning of Article L. 430-1 of the Commercial Code. Given the  </w:t>
        <w:br/>
        <w:t xml:space="preserve">turnover achieved by the companies involved, the operation does not have a community dimension.  </w:t>
        <w:br/>
        <w:t xml:space="preserve">However, the control thresholds related to retail trade mentioned in point II of Article L. 430-2 of the  </w:t>
        <w:br/>
        <w:t xml:space="preserve">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view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12-020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