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https://www.autoritedelaconcurrence.fr/fr/decision-de-controle-des-concentrations/relative-la-prise-de-controle-exclusif-de-la-societe-mecafi</w:t>
      </w:r>
    </w:p>
    <w:p>
      <w:r>
        <w:t>Pages translated : 2</w:t>
      </w:r>
    </w:p>
    <w:p/>
    <w:p>
      <w:r>
        <w:rPr>
          <w:b/>
        </w:rPr>
        <w:t>[Pages 1–2]</w:t>
      </w:r>
    </w:p>
    <w:p>
      <w:r>
        <w:t xml:space="preserve">FRENCH REPUBLIC  </w:t>
        <w:br/>
        <w:t xml:space="preserve">Decision No. 18-DCC-145 of August 29, 2018  </w:t>
        <w:br/>
        <w:t xml:space="preserve">regarding the exclusive control acquisition of the company Mecafi by the company  </w:t>
        <w:br/>
        <w:t xml:space="preserve">Nexteam Group  </w:t>
        <w:br/>
        <w:t xml:space="preserve">The Competition Authority,  </w:t>
        <w:br/>
        <w:t xml:space="preserve">Having regard to the complete notification file sent to the mergers department on August 10, 2018, concerning the exclusive control acquisition of the company Mecafi by the company Nexteam Group, formalized by a share transfer agreement and an asset and liability guarantee contract dated July 6,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Mecafi by the company Nexteam Group. It constitutes a concentration within the meaning of Article L. 430-1 of the Commercial Code. Given the turnover achieved by the concerned companies, the notification thresholds of Article 1 paragraph 2 of Regulation (EC) 139/2004 are exceeded, but since each of the concerned companies generates more than two-thirds of its turnover 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industrial supplies, and more specifically the production of parts and components for aircraft,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Single Article: The operation notified under number 18-168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