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https://www.autoritedelaconcurrence.fr/fr/decision-de-controle-des-concentrations/relative-la-prise-de-controle-exclusif-de-la-societe-menix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17-DCC-172 of October 23, 2017  </w:t>
        <w:br/>
        <w:t xml:space="preserve">regarding the acquisition of exclusive control of the company Menix Group by the  </w:t>
        <w:br/>
        <w:t xml:space="preserve">company Five Arrows Managers  </w:t>
        <w:br/>
        <w:t xml:space="preserve">The Competition Authority,  </w:t>
        <w:br/>
        <w:t xml:space="preserve">Having regard to the complete notification file submitted to the mergers department on September 27,  </w:t>
        <w:br/>
        <w:t xml:space="preserve">2017, concerning the acquisition of control of the company Menix Group by the company Five Arrows  </w:t>
        <w:br/>
        <w:t xml:space="preserve">Managers, formalized by a draft share transfer agreement dated August 2,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Five Arrows Managers of exclusive  </w:t>
        <w:br/>
        <w:t xml:space="preserve">control of the company Menix Group SAS and its subsidiaries, which are active in the sectors  </w:t>
        <w:br/>
        <w:t xml:space="preserve">of manufacturing and selling orthopedic prostheses, dental implants, and devices  </w:t>
        <w:br/>
        <w:t xml:space="preserve">for Cranio Maxillo Facial ("CMF") surgery. This operation constitutes a  </w:t>
        <w:br/>
        <w:t xml:space="preserve">concentration operation within the meaning of Article L. 430-1 of the Commercial Code. Given the  </w:t>
        <w:br/>
        <w:t xml:space="preserve">turnover achieved by the companies concerned, the operation does not fall under the jurisdiction of  </w:t>
        <w:br/>
        <w:t xml:space="preserve">the European Union. On the other hand, the control thresholds mentioned in point 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 </w:t>
        <w:br/>
        <w:t xml:space="preserve">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17-198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