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https://www.autoritedelaconcurrence.fr/fr/decision-de-controle-des-concentrations/relative-la-prise-de-controle-exclusif-de-la-societe-meri</w:t>
      </w:r>
    </w:p>
    <w:p>
      <w:r>
        <w:t>Pages translated : 2</w:t>
      </w:r>
    </w:p>
    <w:p/>
    <w:p>
      <w:r>
        <w:rPr>
          <w:b/>
        </w:rPr>
        <w:t>[Pages 1–2]</w:t>
      </w:r>
    </w:p>
    <w:p>
      <w:r>
        <w:t xml:space="preserve">FRENCH REPUBLIC  </w:t>
        <w:br/>
        <w:t xml:space="preserve">Decision No. 20-DCC-18 of February 7, 2020  </w:t>
        <w:br/>
        <w:t xml:space="preserve">regarding the exclusive control acquisition of the company Meri Man by the  </w:t>
        <w:br/>
        <w:t xml:space="preserve">company ITM Alimentaire Sud Est  </w:t>
        <w:br/>
        <w:t xml:space="preserve">The Competition Authority,  </w:t>
        <w:br/>
        <w:t xml:space="preserve">Having regard to the complete notification file sent to the mergers department on January 22, 2020,  </w:t>
        <w:br/>
        <w:t xml:space="preserve">concerning the exclusive control acquisition by the company ITM Alimentaire Sud Est of the company Meri  </w:t>
        <w:br/>
        <w:t xml:space="preserve">Man, and formalized by a transfer agreement dated December 2, 2019;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ITM Alimentaire Sud  </w:t>
        <w:br/>
        <w:t xml:space="preserve">Est of the company Meri Man, which operates a food-dominant business fund under the Intermarché brand with a surface area of 3084 m² located in Valence (26). It constitutes a concentration operation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20-016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