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https://www.autoritedelaconcurrence.fr/fr/decision-de-controle-des-concentrations/relative-la-prise-de-controle-exclusif-de-la-societe-modera</w:t>
      </w:r>
    </w:p>
    <w:p>
      <w:r>
        <w:t>Pages translated : 5</w:t>
      </w:r>
    </w:p>
    <w:p/>
    <w:p>
      <w:r>
        <w:rPr>
          <w:b/>
        </w:rPr>
        <w:t>[Pages 1–3]</w:t>
      </w:r>
    </w:p>
    <w:p>
      <w:r>
        <w:t xml:space="preserve">FRENCH REPUBLIC  </w:t>
        <w:br/>
        <w:t xml:space="preserve">Decision No. 09-DCC-62 of November 2, 2009  </w:t>
        <w:br/>
        <w:t xml:space="preserve">regarding the exclusive control of the company MODERA  </w:t>
        <w:br/>
        <w:t>by the BUT group</w:t>
      </w:r>
    </w:p>
    <w:p>
      <w:r>
        <w:t xml:space="preserve">The Competition Authority,  </w:t>
        <w:br/>
        <w:t xml:space="preserve">Having regard to the notification file sent to the Concentrations Service of the Competition Authority on September 28, 2009, and declared complete on October 23, 2009, regarding the exclusive control of the company Modera by the But group;  </w:t>
        <w:br/>
        <w:t xml:space="preserve">This operation was formalized by a draft transfer contract duly signed by the parties on September 16, 2009;  </w:t>
        <w:br/>
        <w:t xml:space="preserve">Having regard to the supplementary elements provided by the parties during the investigation;  </w:t>
        <w:br/>
        <w:t xml:space="preserve">Having regard to Book IV of the Commercial Code relating to price freedom and competition, and in particular its Articles L. 430-1 to L. 430-7;  </w:t>
        <w:br/>
        <w:t>Adopts the following decision:</w:t>
      </w:r>
    </w:p>
    <w:p>
      <w:r>
        <w:t xml:space="preserve">I. The companies concerned and the operation  </w:t>
        <w:br/>
        <w:t>1. The BUT group, which is active in the retail trade of furniture, decoration, and household appliances, has 225 stores in France under its brand, including 124 stores owned by the BUT group and 101 stores operated by 44 independent franchisees. The BUT group is controlled by the venture capital funds Goldman Sachs ([40-50] %) and Colony Capital ([40-50] %). The notifying party specified that Colony Capital currently holds no stake in companies operating in the markets concerned by the operation or in upstream or related markets, and that Goldman Sachs holds indirect and minority stakes (less than 20 %) in two companies operating in the furniture and decoration market, Unopiu and KA International. Each of these companies has a point of sale in markets concerned by the operation, respectively, one point of sale in Mandelieu-la-Napoule (near Cannes) and one point of sale in Draguignan. However, their consideration does not alter the competitive analysis of the present operation. Furthermore, Goldman Sachs holds a stake in the company Couette, specialized in the manufacture of duvets and pillows, from which the BUT group does not source. In 2008, the management companies of the two funds achieved a total worldwide turnover excluding taxes of [15-20] billion euros, of which [500-1000] million euros in France.</w:t>
      </w:r>
    </w:p>
    <w:p>
      <w:r>
        <w:t xml:space="preserve">2. MODERA is a simplified joint-stock company, holding a group of family-owned capital companies operating, through four subsidiaries, four stores under the BUT brand, in the Provence Alpes Côte d'Azur region, located in Solliès-Pont (near Toulon), Sorgues (near Avignon), Puget sur Argens (near Fréjus), and Cannes.  </w:t>
        <w:br/>
        <w:t xml:space="preserve">3. The BUT group holds, through the company BUT SAS, a minority stake in each of MODERA's subsidiary companies, without this minority stake granting it decisive influence over the activities of the concerned stores. In 2008, the company MODERA achieved a total worldwide turnover excluding taxes of approximately [20-30] million euros exclusively in France.  </w:t>
        <w:br/>
        <w:t>4. The proposed operation consists of the acquisition by the BUT group, via the company BUT Exploitation, of all the shares of the company MODERA. As it results in the exclusive control of the company MODERA by the BUT group, the notified operation constitutes a concentration within the meaning of Article L. 430-1 of the Commercial Code. Given the turnover of the companies concerned, it does not have a community dimension. On the other hand, the control thresholds applicable to retail trade mentioned in Article L. 430-2-II of the Commercial Code are exceeded. The present operation is therefore subject to the provisions of Articles L. 430-3 and following of the Commercial Code relating to economic concentration.</w:t>
      </w:r>
    </w:p>
    <w:p>
      <w:r>
        <w:t xml:space="preserve">II. Definition of the relevant markets  </w:t>
        <w:br/>
        <w:t xml:space="preserve">5. In the retail sector, competition authorities generally recognize two categories of markets: (i) downstream markets, of local dimension, which bring together retail companies and final consumers, and (ii) upstream markets for the supply of retail companies.  </w:t>
        <w:br/>
        <w:t xml:space="preserve">A. DOWNSTREAM MARKETS  </w:t>
        <w:br/>
        <w:t xml:space="preserve">1. RELEVANT PRODUCT MARKETS  </w:t>
        <w:br/>
        <w:t xml:space="preserve">6. As recalled by the Competition Authority in the decision BUT / DVMM1, it may be considered to segment the downstream markets concerned by the operation according to two dimensions: by product family and according to store formats.  </w:t>
        <w:br/>
        <w:t xml:space="preserve">7. In the present case, the parties are simultaneously active in the retail sector of household appliances, furniture products, and decoration and bazaar products, in specialized superstores (hereinafter "GSS").  </w:t>
        <w:br/>
        <w:t xml:space="preserve">8. Regarding household appliances, an additional segmentation may be considered by distinguishing "white," "brown," and "gray" products2. The category of "white" products includes items such as cooktops, stoves, or ovens. The category of "brown" products notably includes televisions, VCRs, camcorders, hi-fi, and audio equipment. The category of "gray" products notably includes personal computers, monitors, and peripherals. However, the notifying party specified that […].  </w:t>
        <w:br/>
        <w:t>9. In the present case, the competitive analysis will focus on the retail sale in GSS of white household appliances, brown household appliances, furniture products, and decoration and bazaar products.</w:t>
      </w:r>
    </w:p>
    <w:p>
      <w:r>
        <w:t xml:space="preserve">2. RELEVANT GEOGRAPHIC MARKETS  </w:t>
        <w:br/>
        <w:t xml:space="preserve">10. Regarding downstream markets, competition authorities consider them to be of local dimension. Thus, in the Cafom/Fincar3 operation, national authorities were led to observe that the consumer was willing to make a trip lasting 20 to 45 minutes to reach a store and compare products and their prices from one brand to another.  </w:t>
        <w:br/>
        <w:t xml:space="preserve">11. The notifying party provided a delimitation of the catchment areas of the stores concerned by the operation based on the actual location of the homes of customers of its stores. The parties have this information provided by customers at the checkout. The parties thus delineated the catchment areas of each store by grouping the postal codes of customers representing 80 % of the store's turnover. The analysis of this data shows that the order of magnitude of 20 to 45 minutes of travel previously retained by the competition authorities generally constitutes a satisfactory approximation of the dimension of the actual catchment areas. However, in certain specific cases, the areas considered in the present case are of a dimension slightly less than 20 minutes, or greater than 45 minutes. In particular, the catchment areas may extend beyond an hour of travel in the most rural regions. It is therefore necessary to specify, in the present case, the geographical perimeters on which the effects of the operation will be analyzed.  </w:t>
        <w:br/>
        <w:t xml:space="preserve">12. The operation concerns the acquisition of four stores located in Sorgues (near Avignon), Puget sur Argens (near Fréjus), Solliès-Pont (near Toulon), and Cannes.  </w:t>
        <w:br/>
        <w:t xml:space="preserve">13. Regarding the store in Sorgues, the only store of the acquirer likely to exert significant competitive pressure on it is located in Bagnols-sur-Cèze. These two stores are 35 kilometers apart, with a travel time of 30 to 35 minutes. In the present case, the operation will be analyzed within a geographical perimeter grouping the catchment areas of these two stores.  </w:t>
        <w:br/>
        <w:t xml:space="preserve">14. Regarding the stores located near the Côte d'Azur, the BUT group holds, before the operation, one store in Aubagne, one in Antibes, and one in Menton. By carrying out the operation, the BUT group will hold six stores, located from west to east at: Aubagne, Solliès-Pont (near Toulon), Puget sur Argens (near Fréjus), Cannes, Antibes, Menton. It is necessary to specify to what extent these different stores belong, or do not belong, to the same relevant geographic market.  </w:t>
        <w:br/>
        <w:t>15. The store in Aubagne is unlikely to exert significant competitive pressure on the one in Solliès-Pont (near Toulon) and therefore, a fortiori, on the more distant stores.</w:t>
      </w:r>
    </w:p>
    <w:p>
      <w:r>
        <w:rPr>
          <w:b/>
        </w:rPr>
        <w:t>[Pages 4–5]</w:t>
      </w:r>
    </w:p>
    <w:p>
      <w:r>
        <w:t>even more distant. Indeed, these two stores are located 64 km apart, which is about a 50-minute drive via a toll highway, whereas, due to the population density of the Côte d'Azur, the catchment areas are relatively narrow (the catchment area of the Solliès-Pont store extends, at most, to about a 35-minute drive).</w:t>
      </w:r>
    </w:p>
    <w:p>
      <w:r>
        <w:t>16. The Menton store is also unlikely to exert significant competitive pressure on those in Cannes and Antibes, and therefore, a fortiori, on more distant stores for similar reasons. In particular, the presence of the Nice metropolitan area between Cannes and Antibes, on the one hand, and Menton, on the other hand, makes it very unlikely that a significant number of consumers would be inclined to arbitrate between these stores.</w:t>
      </w:r>
    </w:p>
    <w:p>
      <w:r>
        <w:t>17. Regarding the stores in Solliès-Pont (near Toulon), Puget sur Argens (near Fréjus), Cannes, and Antibes, the notifying party considered that these four stores belong to the same relevant market. While the travel time between the stores in Puget sur Argens, Cannes, and Antibes (between 15 and 35 minutes) justifies considering that they belong to the same relevant market, it should be noted that the Solliès-Pont store is more than an hour's drive from the other stores considered. The competitive pressure it is likely to exert on stores in Fréjus, Cannes, or Antibes will therefore be relatively minimal, even if the observed catchment areas of the stores in Puget sur Argens (Fréjus) and Solliès-Pont (Toulon) slightly overlap. The competitive analysis will take into account a geographical perimeter encompassing the catchment areas of the stores in Puget sur Argens, Cannes, and Antibes, as well as a perimeter extended to the catchment area of the Solliès-Pont store.</w:t>
      </w:r>
    </w:p>
    <w:p>
      <w:r>
        <w:t>18. In any case, the exact delineation of local geographical markets can be left open as the conclusions of the competitive analysis will remain unchanged, regardless of the assumptions made.</w:t>
      </w:r>
    </w:p>
    <w:p>
      <w:r>
        <w:t>B. THE UPSTREAM MARKETS</w:t>
      </w:r>
    </w:p>
    <w:p>
      <w:r>
        <w:t>19. Regarding the upstream supply markets, competition authorities have noted that "producers manufacture specific products or groups of products and are not technically able to easily convert to the manufacture of other products without significant costs." Furthermore, the Competition Council indicated "that at the level of supplies, it can be considered that there are as many markets as there are product families subject to negotiation, with each distributor putting various suppliers in competition in each of the markets." Thus, a distribution by product group can be considered the most relevant. Regarding the geographical dimension of these markets, the decision-making practice of competition authorities has retained at least a national, if not European, dimension. In the present case, the operation, which only concerns four stores that already source more than [50-80]% from the purchasing center of the But group and from suppliers referenced by it, is not likely to have a significant effect on the structure of the upstream markets. These markets will therefore not be subject to a competitive analysis.</w:t>
      </w:r>
    </w:p>
    <w:p>
      <w:r>
        <w:t>III. Competitive Analysis</w:t>
      </w:r>
    </w:p>
    <w:p>
      <w:r>
        <w:t>20. The following competitive analysis is based on the market share estimates provided by the parties.</w:t>
      </w:r>
    </w:p>
    <w:p>
      <w:r>
        <w:t>21. Regarding the area of Avignon and Bagnols-sur-Cèze, the merged entity will hold a market share of less than [5-15]% in the retail sale of each of the considered product categories (white household appliances, brown household appliances, furniture, bazaar, and decoration). Furthermore, the new entity will face competition from numerous brands in the area, such as Darty, Boulanger, and Conforama for white or brown household appliances, Alinéa, Fly, or Conforama for furniture, and Alinéa, Pier Import for bazaar and decoration products.</w:t>
      </w:r>
    </w:p>
    <w:p>
      <w:r>
        <w:t>22. Regarding the area of Fréjus, Cannes, and Antibes, the merged entity will also hold a market share of less than [5-15]% in the retail sale of each of the considered product categories, whether or not the analysis perimeter is extended to the catchment area of the Solliès-Pont store. Additionally, the new entity will face competition from numerous brands in the area, such as Darty, Boulanger, and Conforama for white or brown household appliances, Ikea, Alinéa, Fly, or Conforama for furniture and bazaar and decoration products.</w:t>
      </w:r>
    </w:p>
    <w:p>
      <w:r>
        <w:t>23. The present operation is therefore not likely to harm competition in the overall relevant markets.</w:t>
      </w:r>
    </w:p>
    <w:p>
      <w:r>
        <w:t>DECIDES</w:t>
      </w:r>
    </w:p>
    <w:p>
      <w:r>
        <w:t>Sole Article: The operation notified under number 09-0094 is authorized.</w:t>
      </w:r>
    </w:p>
    <w:p>
      <w:r>
        <w:t>The President,</w:t>
        <w:br/>
        <w:t>Bruno Lasserre</w:t>
        <w:br/>
        <w:t>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