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https://www.autoritedelaconcurrence.fr/fr/decision-de-controle-des-concentrations/relative-la-prise-de-controle-exclusif-de-la-societe-monaco</w:t>
      </w:r>
    </w:p>
    <w:p>
      <w:r>
        <w:t>Pages translated : 2</w:t>
      </w:r>
    </w:p>
    <w:p/>
    <w:p>
      <w:r>
        <w:rPr>
          <w:b/>
        </w:rPr>
        <w:t>[Pages 1–2]</w:t>
      </w:r>
    </w:p>
    <w:p>
      <w:r>
        <w:t xml:space="preserve">FRENCH REPUBLIC  </w:t>
        <w:br/>
        <w:t xml:space="preserve">Decision No. 25-DCC-173 of July 25, 2025  </w:t>
        <w:br/>
        <w:t xml:space="preserve">regarding the exclusive control acquisition of the company Monaco Marine by  </w:t>
        <w:br/>
        <w:t xml:space="preserve">the Safe Harbor Marinas group  </w:t>
        <w:br/>
        <w:t xml:space="preserve">The Competition Authority,  </w:t>
        <w:br/>
        <w:t xml:space="preserve">Having regard to the complete notification file submitted to the mergers department on July 3, 2025,  </w:t>
        <w:br/>
        <w:t xml:space="preserve">concerning the exclusive control acquisition of the company Monaco Marine by the  </w:t>
        <w:br/>
        <w:t xml:space="preserve">Safe Harbor Marinas group, formalized by a unilateral purchase promise dated June 11, 2025;  </w:t>
        <w:br/>
        <w:t xml:space="preserve">Having regard to Book IV of the Commercial Code relating to the freedom of prices and competition, and  </w:t>
        <w:br/>
        <w:t xml:space="preserve">notably its Articles L. 430-1 to L. 430-7;  </w:t>
        <w:br/>
        <w:t xml:space="preserve">Having regard to the other documents in the file;  </w:t>
        <w:br/>
        <w:t xml:space="preserve">Adopts the following decision:  </w:t>
        <w:br/>
        <w:t xml:space="preserve">1. The notified operation consists of the acquisition by Poseidon TRS Buyer LLC, an entity wholly owned  </w:t>
        <w:br/>
        <w:t xml:space="preserve">by SHM Holdco, LLC, a holding company of the Safe Harbor Marinas group, ultimately controlled by Blackstone Inc., of all the capital and voting rights of Monaco Marine SA, which offers renovation, maintenance, and conversion services for former commercial or military vessels into yachts.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25-159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