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https://www.autoritedelaconcurrence.fr/fr/decision-de-controle-des-concentrations/relative-la-prise-de-controle-exclusif-de-la-societe-monext</w:t>
      </w:r>
    </w:p>
    <w:p>
      <w:r>
        <w:t>Pages translated : 6</w:t>
      </w:r>
    </w:p>
    <w:p/>
    <w:p>
      <w:r>
        <w:rPr>
          <w:b/>
        </w:rPr>
        <w:t>[Pages 1–3]</w:t>
      </w:r>
    </w:p>
    <w:p>
      <w:r>
        <w:t>FRENCH REPUBLIC</w:t>
        <w:br/>
        <w:t>Decision No. 09-DCC-86 of December 22, 2009</w:t>
        <w:br/>
        <w:t>regarding the exclusive control of Monext Holding</w:t>
        <w:br/>
        <w:t>by the Crédit Mutuel Arkéa group</w:t>
        <w:br/>
        <w:t>The Competition Authority,</w:t>
        <w:br/>
        <w:t>Having regard to the notification file submitted in full to the merger service on November 19, 2009, concerning the acquisition by the Crédit Mutuel Arkéa group of exclusive control of Monext Holding, formalized by a securities purchase agreement dated November 17, 2009;</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1. The Arkéa group brings together the Crédit Mutuel Federations of Brittany, South West, and Massif Central around the Crédit Mutuel Arkéa company (formerly the Inter-Federal Caisse de Crédit Mutuel), controlled by the aforementioned three federations. Crédit Mutuel Arkéa (hereinafter "Arkéa") controls around twenty subsidiaries whose activities cover all areas of banking, financial services, insurance, and real estate.</w:t>
        <w:br/>
        <w:t>2. The total worldwide turnover excluding taxes achieved by the Arkéa group in 2008, the last closed financial year, amounts to 1.08 billion euros, of which 1.07 billion in France.</w:t>
        <w:br/>
        <w:t>3. Monext Holding holds the entirety of the capital of Monext, created during the exclusive control acquisition by Advent International of the electronic payment activities of Experian France, this operation having been authorized by the Minister of Economy on September 5, 2008. Monext offers financial institutions a range of services allowing the issuance and management of bank cards (credit, debit, business, etc.). It also provides merchants with technical solutions covering all services for processing flows and payment acceptance.</w:t>
        <w:br/>
        <w:t>4. The total worldwide turnover excluding taxes achieved by Monext in 2008, the last closed financial year, amounts to 59.8 million euros, exclusively in France.</w:t>
        <w:br/>
        <w:t>* * *</w:t>
        <w:br/>
        <w:t>5. Under the securities purchase agreement signed by the parties on November 17, 2009, Advent International committed to transfer all shares and bonds of Monext Holding to Crédit Mutuel Arkéa.</w:t>
        <w:br/>
        <w:t>6. As it results in the exclusive control of Monext Holding by Crédit Mutuel Arkéa, the notified operation constitutes a concentration within the meaning of Article L. 430-1 of the Commercial Code. Given the turnover figures of the concerned companies, the operation does not have a community dimension. However, the thresholds mentioned in Article L. 430-2 of the Commercial Code are exceeded. This operation is therefore subject to the provisions of Articles L. 430-3 and following of the Commercial Code relating to economic concentration.</w:t>
        <w:br/>
        <w:t>II. Delimitation of relevant markets</w:t>
        <w:br/>
        <w:t>7. Crédit Mutuel Arkéa and Monext are active in the electronic payment services sector. Within this sector, competition authorities, both national and community, distinguish, downstream, the markets for the issuance of payment cards ("card issuing") from the markets for the acquisition of transactions carried out by merchants equipped with card payment systems. Symmetrically, upstream, the decision-making practice distinguishes between the markets for administrative and technical services allowing the issuance of cards ("issuing processing") and the markets for services inherent to the acquisition of transactions carried out by merchants ("acquiring processing").</w:t>
        <w:br/>
        <w:t>8. In this case, Arkéa is active in the downstream markets for the issuance of payment cards and the acquisition of transactions. For its part, Monext is active in the upstream markets for services necessary for the issuance of cards as well as for the acquisition of transactions. Consequently, this operation does not involve any overlap of activity in the different markets of the electronic payment sector, and these will only be considered for the analysis of vertical effects.</w:t>
        <w:br/>
        <w:t>2</w:t>
        <w:br/>
        <w:t>A. DELIMITATION OF PRODUCT MARKETS</w:t>
        <w:br/>
        <w:t>1. DOWNSTREAM MARKETS</w:t>
        <w:br/>
        <w:t>a) The markets for the issuance of payment cards</w:t>
        <w:br/>
        <w:t>9. Competition authorities, both at the community and national levels, consider that the issuance of payment cards constitutes a distinct product market. The European Commission has also considered a segmentation of the payment card issuance market according to whether they are selective/private cards (valid with certain merchants only) or general (valid with all merchants using this payment method as well as at automatic withdrawal terminals). The Commission has also questioned a possible distinction between international and national payment cards as well as a potential segmentation of the market based on end users, namely individuals, SMEs, and large enterprises. Finally, the Commission has not resolved the question regarding a possible segmentation based on whether the cards are debit or credit.</w:t>
        <w:br/>
        <w:t>10. In this case, the Arkéa group only issues so-called general payment cards.</w:t>
        <w:br/>
        <w:t>b) The markets for the acquisition of transactions carried out by merchants equipped with card payment systems</w:t>
        <w:br/>
        <w:t>11. The acquisition activity consists of entering into contracts with merchants so that they can subsequently accept the various payment cards used (for example, "Visa").</w:t>
        <w:br/>
        <w:t>12. The European Commission has considered a segmentation of the transaction acquisition market based on whether it involves the "Visa" system or "EuroCard/MasterCard."</w:t>
        <w:br/>
        <w:t>13. The notifying party also considers that it is appropriate to make a distinction based on whether the acquisition concerns transactions carried out by merchants equipped with general interbank card payment systems (see above) or selective/private ones. Furthermore, according to the parties, the transaction acquisition market should be segmented based on the type of transaction, namely "physical" or remote via the Internet.</w:t>
        <w:br/>
        <w:t>* * *</w:t>
        <w:br/>
        <w:t>14. In any case, the question of the exact delimitation of the downstream markets for the issuance of payment cards and the acquisition of transactions may remain open, insofar as regardless of the segmentation criteria retained, the conclusions of the competitive analysis remain unchanged.</w:t>
      </w:r>
    </w:p>
    <w:p>
      <w:r>
        <w:rPr>
          <w:b/>
        </w:rPr>
        <w:t>[Pages 4–6]</w:t>
      </w:r>
    </w:p>
    <w:p>
      <w:r>
        <w:t>2. UPSTREAM MARKETS FOR ADMINISTRATIVE AND TECHNICAL SERVICES ALLOWING</w:t>
        <w:br/>
        <w:t>THE ISSUANCE OF CARDS AND THE ACQUISITION OF TRANSACTIONS</w:t>
        <w:br/>
        <w:t>15. The administrative and technical services allowing the issuance of cards include all</w:t>
        <w:br/>
        <w:t>"user-oriented" services, notably the routing and technical processing of information related to payment transfer orders, the authorization of the transaction on the issuer's side, anti-fraud services, the maintenance of local and international blocking lists, as well as the verification of payment limits. The services specific to the acquisition of transactions correspond to "merchant-oriented" services, which include, among others, the management of the transaction on the side of the "acquiring" entity.</w:t>
        <w:br/>
        <w:t>16. The community decision-making practice considers, without however resolving the issue, that the administrative and technical services allowing the issuance of payment cards, on the one hand, and those necessary for the acquisition of transactions, on the other hand, constitute two distinct product markets.</w:t>
        <w:br/>
        <w:t>17. This delimitation is not challenged by the parties. However, they consider that it is appropriate to distinguish between the services related to the issuance of selective/private cards and those related to the issuance of interbank cards. Furthermore, regarding the services allowing the acquisition of transactions, the parties believe that it is relevant to make a distinction based on the nature of the transaction, namely physical or remote via the Internet.</w:t>
        <w:br/>
        <w:t>18. In any case, the question of the exact delimitation of the upstream markets for administrative and technical services allowing the issuance of cards and the acquisition of transactions may remain open, insofar as regardless of the segmentation criteria retained, the conclusions of the competitive analysis remain unchanged.</w:t>
        <w:br/>
        <w:t>B. DELIMITATION OF GEOGRAPHICAL MARKETS</w:t>
        <w:br/>
        <w:t>19. Whether concerning the downstream markets for the issuance of payment cards and the acquisition of transactions or the upstream markets for the corresponding services, the competition authorities adopt a national dimension.</w:t>
        <w:br/>
        <w:t>20. Specifically regarding the upstream markets, the European Commission has noted that the dimension of these markets tends to become more European. The parties confirm this analysis and consider that the upstream markets should be analyzed at the European level due to the project to establish a single euro payments area (SEPA project) by the actors in the sector. They also indicate that, concerning these markets, the German competition authority (Bundeskartellamt) has adopted a European dimension.</w:t>
        <w:br/>
        <w:t>21. In any case, the question of the exact geographical delimitation of the downstream markets for the issuance of payment cards and the acquisition of transactions or the upstream markets for the corresponding services may remain open, insofar as regardless of the segmentation criteria retained, the conclusions of the competitive analysis remain unchanged.</w:t>
        <w:br/>
        <w:t>III. Competitive Analysis</w:t>
        <w:br/>
        <w:t>22. As specified above, the present operation does not result in any overlap of activities in the downstream markets for the issuance of payment cards and the acquisition of transactions, activities carried out by Arkéa, or in the upstream markets for the corresponding services, in which Monext is present. These markets will therefore only be considered in the context of the analysis of vertical effects.</w:t>
        <w:br/>
        <w:t>23. A vertical concentration may restrict competition in the upstream markets when the downstream branch of the integrated company refuses to purchase products from upstream operators, thereby reducing their commercial outlets. Such a concentration may also restrict competition in the downstream markets when the new entity active upstream refuses to sell its products to downstream players.</w:t>
        <w:br/>
        <w:t>24. The decision-making practice of competition authorities generally dismisses these risks of vertical effects when the market share of the company resulting from the operation in the relevant markets does not exceed 30%, by analogy with the analysis supporting Regulation (EC) No. 2790/99 concerning the application of Article 81(3) of the EC Treaty, according to which restrictive clauses of competition entered into between a supplier and its distributors do not affect the competitive situation of the market if the supplier's market share does not exceed 30%.</w:t>
        <w:br/>
        <w:t>25. Regarding the issuance of cards, downstream, in the national markets for the issuance of payment cards, regardless of the segmentation criteria retained, the market share of the Arkéa group in 2008, which primarily issues international debit cards for individuals, remains below [0-5]%. It can be noted that Arkéa does not issue selective/private cards (valid with certain merchants only) but only so-called general cards (see paragraph 9). In this particular market, Arkéa faces competition from other French banks such as Crédit Agricole (with a market share of [20-30]%), the Banque Populaire/Caisse d’Epargne group ([20-30]%), or Société Générale ([10-20]%).</w:t>
        <w:br/>
        <w:t>26. Upstream, in the national markets for administrative and technical services allowing the issuance of cards, the market share of Monext in 2008 is estimated at [30-40]% concerning the so-called general cards. In this market, Monext must contend with competition from Atos Worldline (with a market share of [10-20]%) and Natexis payment ([10-20]%). Additionally, it can be added that Monext's position in the European market for services allowing the issuance of cards (both general and selective/private) is, according to the parties' estimates, below [5-10]%.</w:t>
        <w:br/>
        <w:t>27. Regarding the acquisition markets, downstream, in the national market for the acquisition of transactions carried out by merchants equipped with card payment systems, the market share of the Arkéa group is estimated by the parties at [0-5]%. In this market, Arkéa faces competition from large banking groups such as Crédit Agricole (with an estimated market share of [30-40]%) or the Banque Populaire/Caisse d’Epargne group ([10-20]%).</w:t>
        <w:br/>
        <w:t>28. Upstream, in the national market for services allowing the acquisition of transactions, the market share of Monext is estimated at [20-30]%. In this market, Monext is subject to competition from Atos Worldline (with an estimated market share of [40-50]%).</w:t>
        <w:br/>
        <w:t>29. The market shares across all relevant markets, both downstream and upstream, remain limited, and consequently, it is unlikely that Arkéa will have the ability to restrict competition in any of these markets. Furthermore, the operation cannot deprive Monext's competitors of outlets since, prior to this acquisition, all services allowing the issuance and acquisition of transactions were internalized by Arkéa. Moreover, it is unlikely that Monext will cease offering its services to Arkéa's competitors since it is bound to its clients by long-term contracts. Finally, the actors that turn to Monext include, notably, large financial institutions that always have the option, similar to the strategy previously followed by Arkéa, to internalize the relevant services.</w:t>
        <w:br/>
        <w:t>30. In light of the above, the present operation is not likely to harm competition through vertical effects in the markets for the issuance of payment cards, the acquisition of transactions, and the corresponding services.</w:t>
        <w:br/>
        <w:t>DECIDES</w:t>
        <w:br/>
        <w:t>Sole Article: The operation notified under number 09-0123 is authorized.</w:t>
        <w:b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