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https://www.autoritedelaconcurrence.fr/fr/decision-de-controle-des-concentrations/relative-la-prise-de-controle-exclusif-de-la-societe-mont</w:t>
      </w:r>
    </w:p>
    <w:p>
      <w:r>
        <w:t>Pages translated : 6</w:t>
      </w:r>
    </w:p>
    <w:p/>
    <w:p>
      <w:r>
        <w:rPr>
          <w:b/>
        </w:rPr>
        <w:t>[Pages 1–3]</w:t>
      </w:r>
    </w:p>
    <w:p>
      <w:r>
        <w:t xml:space="preserve">FRENCH REPUBLIC  </w:t>
        <w:br/>
        <w:t xml:space="preserve">Decision No. 16-DCC-198 of December 5, 2016  </w:t>
        <w:br/>
        <w:t>regarding the exclusive control of Mont Blanc Materne by Fromageries Bel</w:t>
      </w:r>
    </w:p>
    <w:p>
      <w:r>
        <w:t xml:space="preserve">The Competition Authority,  </w:t>
        <w:br/>
        <w:t xml:space="preserve">Having regard to the notification file submitted in full to the merger service on October 28, 2016, regarding the exclusive control of Mont Blanc Materne by Fromageries Bel, formalized by an acquisition agreement dated October 20, 2016;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Adopts the following decision:</w:t>
      </w:r>
    </w:p>
    <w:p>
      <w:r>
        <w:t xml:space="preserve">I. The companies concerned and the operation  </w:t>
        <w:br/>
        <w:t xml:space="preserve">1. Fromageries Bel is the parent company of the Bel group (hereinafter, "Bel"), active in the production of cheeses, particularly in the form of individual portions. Bel is controlled by Unibel, which is itself controlled by the Fièvet-Bel family group.  </w:t>
        <w:br/>
        <w:t xml:space="preserve">2. Mont Blanc Materne (hereinafter, "MOM") is a simplified joint-stock company that controls four subsidiaries, two of which are active in France: Mont Blanc SAS and Materne SAS. Together, these companies constitute the MOM group, active in the production of compotes (particularly in the form of pouches and individual cups), light jams, dessert creams, cereal-based desserts (rice pudding, semolina cakes, etc.), and condensed milk. MOM is ultimately controlled, through several holding companies, by MOM Participations 2 SAS.  </w:t>
        <w:br/>
        <w:t xml:space="preserve">3. The notified operation consists of Bel acquiring 65% of the ordinary shares of Newton Holding SAS, a new company created for the purposes of the operation, which will indirectly hold all of the capital and voting rights of MOM, with the remaining 35% held by investors and the main executives and managers of the MOM group. At the conclusion of the operation, none of these minority shareholders will be able to exercise alone or jointly a decisive influence over MOM.  </w:t>
        <w:br/>
        <w:t xml:space="preserve">4. As it results in the exclusive control of MOM by Bel, the operation constitutes a concentration within the meaning of Article L. 430-1 of the Commercial Code.  </w:t>
        <w:br/>
        <w:t>5. The companies concerned together achieve a total worldwide turnover excluding taxes of more than 150 million euros (Bel: 2.9 billion euros for the fiscal year ending December 31, 2015; MOM: [...] euros for the same fiscal year). These companies have achieved a turnover in France exceeding 50 million euros (Bel: [...] euros for the fiscal year ending December 31, 2015; MOM: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A. PRODUCT MARKETS  </w:t>
        <w:br/>
        <w:t xml:space="preserve">6. Both parties source milk (1) for the manufacture of dairy products which they primarily distribute to large retail outlets (2). MOM also distributes other non-dairy products (3).  </w:t>
        <w:br/>
        <w:t xml:space="preserve">1. MILK COLLECTION  </w:t>
        <w:br/>
        <w:t xml:space="preserve">7. The parties purchase milk that they collect from producers and cooperatives for their dairy product manufacturing activities.  </w:t>
        <w:br/>
        <w:t xml:space="preserve">8. European2 and national3 decision-making practice considers that the upstream markets for milk collection should be distinguished according to the type of milk concerned (cow's milk, sheep's milk, etc.). Finer segmentations distinguishing milk from organic farming4 or milk intended for the production of products under controlled or protected designation of origin5 ("AOC" or "AOP") have also been considered6. In this case, the parties only collect conventional cow's milk.  </w:t>
        <w:br/>
        <w:t xml:space="preserve">2 See in particular the European Commission decision No. COMP/M.4344 - Lactalis/Nestlé/JV(II).  </w:t>
        <w:br/>
        <w:t xml:space="preserve">3 See in particular the decisions of the Competition Authority No. 13-DCC-47 of April 17, 2013, regarding the acquisition of the cooperative Les Fromageries de Blâmont by the cooperative Sodiaal Union, No. 12-DCC-83 of June 13, 2012, regarding the merger between Nordmilch eG, Humana Milchunion eG, and Molkereigenossenschaft Bad Bibra eG, No. 11-DCC-150 of October 10, 2011, regarding the exclusive control of the cooperative Elle-et-Vire by the cooperative group Agrial, and No. 10-DCC-110 of September 1, 2010, regarding the exclusive control of the Entremont group by the Sodiaal group.  </w:t>
        <w:br/>
        <w:t xml:space="preserve">4 See in particular the aforementioned decision No. 12-DCC-83 and the European Commission decision No. COMP/M.5046 - Friesland Foods/Campina of December 17, 2008.  </w:t>
        <w:br/>
        <w:t xml:space="preserve">5 See the letter from the minister No. C2005-78 of October 28, 2005, to the boards of the companies Finance and Management, Entremont, Unicopa.  </w:t>
        <w:br/>
        <w:t>6 See also the decision of the Competition Authority No. 13-DCC-97 of July 22, 2013, regarding the joint control of the companies Eurial SAS and Filae SAS by the cooperative groups Agrial and Eurial.</w:t>
      </w:r>
    </w:p>
    <w:p>
      <w:r>
        <w:t xml:space="preserve">9. The question of the precise delineation of these markets can be left open, insofar as the conclusions of the competitive analysis will remain unchanged, regardless of the delineations adopted.  </w:t>
        <w:br/>
        <w:t xml:space="preserve">2. MANUFACTURE OF DAIRY PRODUCTS  </w:t>
        <w:br/>
        <w:t xml:space="preserve">10. The parties manufacture dairy products which they primarily distribute to large and medium-sized retail outlets (hereinafter, "GMS").  </w:t>
        <w:br/>
        <w:t xml:space="preserve">11. In the downstream markets for the commercialization of dairy products, decision-making practice segments these markets based on several criteria: (i) the family to which the product belongs and (ii) the distribution channel, sub-segmented, in the case of GMS, according to the mode of distribution (counter/self-service) and the commercial positioning of the products.  </w:t>
        <w:br/>
        <w:t xml:space="preserve">12. Regarding the segmentation according to product family, the European Commission7 distinguished ten main market segments: (i) basic dairy products (milk, yogurt, cream), (ii) cheese, (iii) butter, (iv) value-added yogurts and cottage cheese, (v) flavored milk drinks, (vi) fresh dairy desserts, (vii) cream, (viii) liquid coffee whiteners, (ix) dry emulsions in aerosol form, and (x) lactose. It also considered additional sub-segmentations within each of these markets, according to product characteristics, such as their organoleptic qualities, or the existence of quality labels.  </w:t>
        <w:br/>
        <w:t xml:space="preserve">13. Regarding the segmentation according to the distribution channel, national decision-making practice8 distinguished products intended for GMS, for out-of-home catering (hereinafter, "RHF"), and for the agri-food industry (hereinafter, "IAA").  </w:t>
        <w:br/>
        <w:t xml:space="preserve">14. Regarding products intended for GMS, a sub-segmentation was considered according to the mode of distribution (self-service or counter), as well as based on commercial positioning, distinguishing products sold under private labels (hereinafter, "MDF") or under distributor brands (hereinafter, "MDD").  </w:t>
        <w:br/>
        <w:t xml:space="preserve">15. In this case, the parties primarily supply GMS with dairy products, but for different product families. MOM produces cereal-based desserts (rice pudding, semolina cakes, etc.), dairy desserts9, and unsweetened condensed milk, while Bel produces cheese.  </w:t>
        <w:br/>
        <w:t xml:space="preserve">16. The question of the exact delineation of the dairy product markets can, however, be left open, as the conclusions of the competitive analysis remain unchanged regardless of the segmentations considered.  </w:t>
        <w:br/>
        <w:t xml:space="preserve">7 See the aforementioned decision No. COMP/M.5046.  </w:t>
        <w:br/>
        <w:t xml:space="preserve">8 Letter from the minister No. C 2005-78 and the aforementioned decision No. 10-DCC-110.  </w:t>
        <w:br/>
        <w:t>9 European practice has considered that the category of dairy desserts includes the following main products: liégeois, mousses, rice pudding, dessert creams, small pots of cream, egg/caramel/burnt/catalan creams, flans and puddings, clafoutis, rice cakes, floating islands, profiteroles, tiramisu. On two occasions concerning the French market, the Commission has considered narrower markets within fresh dairy desserts, particularly by type of dessert, focusing particularly on the sector of egg/cooked creams. See the aforementioned decision M.4344 as well as decisions COMP/M.6441 and No. 13-DCC-97.</w:t>
      </w:r>
    </w:p>
    <w:p>
      <w:r>
        <w:rPr>
          <w:b/>
        </w:rPr>
        <w:t>[Pages 4–6]</w:t>
      </w:r>
    </w:p>
    <w:p>
      <w:r>
        <w:t xml:space="preserve">3. MANUFACTURE OF NON-DAIRY PRODUCTS  </w:t>
        <w:br/>
        <w:t xml:space="preserve">17. In these markets, only MOM produces compotes (particularly in the form of pouches and individual cups) and jams.  </w:t>
        <w:br/>
        <w:t xml:space="preserve">18. By analogy with the delineation of dairy product markets, segmentations according to (i) the family to which the product belongs and (ii) the distribution channel, possibly sub-segmented according to the mode of distribution (counter/self-service) and the commercial positioning of the products, can be considered to examine the effects of the operation in the specific case.  </w:t>
        <w:br/>
        <w:t xml:space="preserve">19. The question of the exact delineation of the markets for compotes and jams can, however, be left open, as the conclusions of the competitive analysis remain unchanged regardless of the segmentations considered.  </w:t>
        <w:br/>
        <w:t xml:space="preserve">B. GEOGRAPHICAL MARKETS  </w:t>
        <w:br/>
        <w:t xml:space="preserve">1. MILK COLLECTION  </w:t>
        <w:br/>
        <w:t xml:space="preserve">20. The European Commission has determined that the markets for milk collection have a national dimension. It has nonetheless noted that "while conventional raw milk can theoretically be transported over long distances, the average distance between farms and processing units is approximately 40 to 50 km."  </w:t>
        <w:br/>
        <w:t xml:space="preserve">21. For France, the competition authorities have retained a radius of about 50 kilometers around dairies and analyzed operations at the regional, departmental, or sub-departmental level.  </w:t>
        <w:br/>
        <w:t xml:space="preserve">22. In this case, the parties presented their market shares in cow milk collection at the national level, specifying that their sources of supply are geographically distinct at the local level. The question of the exact geographical delineation of the cow milk collection market can remain open, as the analysis remains unchanged regardless of the assumption.  </w:t>
        <w:br/>
        <w:t xml:space="preserve">2. MANUFACTURE OF DAIRY PRODUCTS AND NON-DAIRY PRODUCTS  </w:t>
        <w:br/>
        <w:t xml:space="preserve">23. In the food sector, competition authorities generally consider that competition occurs at the national level. Consumer preferences, tastes, and habits, price differences, variations in market shares of operators in different countries, and the strong presence of national brands justify this delineation.  </w:t>
        <w:br/>
        <w:t xml:space="preserve">10 See the European Commission decisions COMP/M.5046 – Friesland Foods Campina of December 17, 2008, COMP/M. –Arla Foods / Express Dairies of June 10, 2003, as well as COMP/M.4344 Lactalis / Nestlé / JV of September 19, 2006.  </w:t>
        <w:br/>
        <w:t xml:space="preserve">11 See the decisions of the Competition Authority n° 16-DCC-59 of April 19, 2016, regarding the exclusive control of the cooperatives Colarena Presqu’île, Poitouraine, UCAL-CP, Laiterie Coopérative du Pays de Gâtine, Coopérative Fromagère de Chaunay, Monts Laits, and Val Sud by the Agricultural Cooperative Agrial, and n° 13-DCC-47 of April 17, 2013, regarding the exclusive control of the agricultural cooperative Les Fromageries de Blâmont by the cooperative Sodiaal Union.  </w:t>
        <w:br/>
        <w:t>12 See, for example, the decisions of the Competition Authority n° 09-DCC-48 in the catering products sector, n° 10-DCC-21 in the vegetables and mushrooms sector, or n° 10-DCC-60 in the ice cream sector.</w:t>
      </w:r>
    </w:p>
    <w:p>
      <w:r>
        <w:t xml:space="preserve">III. Competitive Analysis  </w:t>
        <w:br/>
        <w:t xml:space="preserve">A. HORIZONTAL EFFECTS  </w:t>
        <w:br/>
        <w:t xml:space="preserve">1. MILK COLLECTION  </w:t>
        <w:br/>
        <w:t xml:space="preserve">24. At the national level, the parties collect 2% of cow milk. At the local level, the activities of the parties only overlap in the Normandy region where they collectively collect 1% of cow milk, without their collection activities overlapping in local areas within a radius of 50 kilometers around the dairies.  </w:t>
        <w:br/>
        <w:t xml:space="preserve">25. Consequently, the risks of harm to competition can be ruled out in the milk collection markets.  </w:t>
        <w:br/>
        <w:t xml:space="preserve">2. MANUFACTURE OF DAIRY PRODUCTS  </w:t>
        <w:br/>
        <w:t xml:space="preserve">26. To the extent that the parties are present within distinct families of dairy products, their activities only overlap in a global market where they hold a position of less than [0-5]% at the national level.  </w:t>
        <w:br/>
        <w:t xml:space="preserve">27. Regarding the manufacture of dairy products for GMS, the new entity will hold an estimated position of less than [0-5]% (less than [0-5]% for Bel and less than [0-5]% for MOM) and will face competition from significant players such as Lactalis, Savencia, Entremont, Yabon, Danone, or Nestlé.  </w:t>
        <w:br/>
        <w:t xml:space="preserve">28. Regarding other distribution channels (HORECA, IAA), MOM makes all of its sales to a single distributor in HORECA, which Bel does not supply, while there are no overlaps between the parties' activities in the manufacture of dairy products for IAA.  </w:t>
        <w:br/>
        <w:t xml:space="preserve">29. Consequently, the risks of harm to competition can be ruled out in the overall market for the manufacture of dairy products.  </w:t>
        <w:br/>
        <w:t xml:space="preserve">B. CONGLOMERATE EFFECTS  </w:t>
        <w:br/>
        <w:t xml:space="preserve">30. A concentration has conglomerate effects when the parties extend or strengthen their presence in several markets whose connection may allow them to increase their market power. While conglomerate concentrations can generate pro-competitive synergies, some may nonetheless produce restrictive effects on competition when they allow for the technical or commercial tying of the sales or purchases of the components of the grouping in a way that locks the market and excludes competitors.  </w:t>
        <w:br/>
        <w:t xml:space="preserve">31. In this case, while the parties concurrently distribute their products to GMS, they face different buyers as their products are not distributed in the same aisles. Bel primarily produces portioned processed cheeses sold in the fresh section, while MOM primarily produces compotes in the form of pouches and individual cups as well as dairy desserts, including dessert creams in metal cans and pouches and cereal desserts in metal cans, sold in the grocery aisle. Therefore, there is not sufficient connection between the cheese market and the markets for compotes and dessert creams sold in the grocery aisle to consider implementing tied selling strategies.  </w:t>
        <w:br/>
        <w:t xml:space="preserve">32. Furthermore, in each product family, the new entity remains confronted with competition from significant players: Lactalis, Savencia, Entremont regarding cheese manufacturing, Yabon, Danone, and Nestlé regarding dairy desserts, Andros and Bonne Maman regarding jams, and Andros and Saint-Mamet regarding compotes. Several competitors of the new entity also have a portfolio of brands as renowned as those of the new entity (Montblanc, Materne, Pom’Potes), such as Danone (Activia, Actimel, Danette), Entremont (Entremont, Meule d'Or), Nestlé (Chambourcy, La Laitière), or Andros (Andros, Bonne Maman, Mamie Nova).  </w:t>
        <w:br/>
        <w:t xml:space="preserve">33. Moreover, the new entity will continue to face the counter-power of the national purchasing centers of large retailers that also distribute the same products as the parties, under their own brands (MDD).  </w:t>
        <w:br/>
        <w:t xml:space="preserve">34. The operation is therefore not likely to allow for the commercial tying of the sales of the new entity's products in a way that locks the market and excludes competitors.  </w:t>
        <w:br/>
        <w:t xml:space="preserve">35. Consequently, the risks of harm to competition from conglomerate effects can be ruled out in the markets concerned by the operation.  </w:t>
        <w:br/>
        <w:t xml:space="preserve">DECIDES  </w:t>
        <w:br/>
        <w:t xml:space="preserve">Sole Article: The operation notified under number 16-180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