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https://www.autoritedelaconcurrence.fr/fr/decision-de-controle-des-concentrations/relative-la-prise-de-controle-exclusif-de-la-societe-montis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17-DCC-124 of August 7, 2017  </w:t>
        <w:br/>
        <w:t xml:space="preserve">regarding the exclusive control acquisition of the company Montis by the  </w:t>
        <w:br/>
        <w:t>company ITM Alimentaire Région Parisienne</w:t>
      </w:r>
    </w:p>
    <w:p>
      <w:r>
        <w:t>The Competition Authority,</w:t>
      </w:r>
    </w:p>
    <w:p>
      <w:r>
        <w:t xml:space="preserve">Having regard to the complete notification file submitted to the mergers department on July 18, 2017,  </w:t>
        <w:br/>
        <w:t xml:space="preserve">concerning the exclusive control acquisition of the company Montis by the company ITM Alimentaire Région  </w:t>
        <w:br/>
        <w:t>Parisienne, formalized by a memorandum of understanding dated July 3, 2017;</w:t>
      </w:r>
    </w:p>
    <w:p>
      <w:r>
        <w:t xml:space="preserve">Having regard to Book IV of the Commercial Code relating to the freedom of prices and competition, and  </w:t>
        <w:br/>
        <w:t>notably its Articles L. 430-1 to L. 430-7;</w:t>
      </w:r>
    </w:p>
    <w:p>
      <w:r>
        <w:t>Adopts the following decision:</w:t>
      </w:r>
    </w:p>
    <w:p>
      <w:r>
        <w:t xml:space="preserve">1. The notified operation consists of the acquisition by the company ITM Alimentaire Région Parisienne  </w:t>
        <w:br/>
        <w:t xml:space="preserve">of exclusive control of the company Montis, which operates a food-dominant retail outlet, with an area of  </w:t>
        <w:br/>
        <w:t xml:space="preserve">2,500 m² under the Intermarché brand and located in the city of Isneauville in Seine Maritime (76). This operation  </w:t>
        <w:br/>
        <w:t xml:space="preserve">constitutes a concentration operation within the meaning of Article L. 430-1 of the Commercial Code. Given the  </w:t>
        <w:br/>
        <w:t xml:space="preserve">turnover achieved by the companies concerned, the operation does not fall under the jurisdiction of the European  </w:t>
        <w:br/>
        <w:t xml:space="preserve">Union. However, the retail control thresholds mentioned in point II of Article L. 430-2 of the Commercial Code  </w:t>
        <w:br/>
        <w:t xml:space="preserve">are exceeded. This operation is therefore subject to the provisions of Articles L. 430-3 and following of the  </w:t>
        <w:br/>
        <w:t>Commercial Code relating to economic concentration.</w:t>
      </w:r>
    </w:p>
    <w:p>
      <w:r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17-142 is authorized.  </w:t>
        <w:br/>
        <w:t xml:space="preserve">The Vice-President,  </w:t>
        <w:br/>
        <w:t xml:space="preserve">Emmanuel Combe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