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https://www.autoritedelaconcurrence.fr/fr/decision-de-controle-des-concentrations/relative-la-prise-de-controle-exclusif-de-la-societe-mottin</w:t>
      </w:r>
    </w:p>
    <w:p>
      <w:r>
        <w:t>Pages translated : 2</w:t>
      </w:r>
    </w:p>
    <w:p/>
    <w:p>
      <w:r>
        <w:rPr>
          <w:b/>
        </w:rPr>
        <w:t>[Pages 1–2]</w:t>
      </w:r>
    </w:p>
    <w:p>
      <w:r>
        <w:t xml:space="preserve">FRENCH REPUBLIC  </w:t>
        <w:br/>
        <w:t xml:space="preserve">Decision No. 18-DCC-44 of March 29, 2018  </w:t>
        <w:br/>
        <w:t xml:space="preserve">regarding the exclusive control acquisition of Mottin SAS by  </w:t>
        <w:br/>
        <w:t xml:space="preserve">Coopérative U Enseigne SA  </w:t>
        <w:br/>
        <w:t xml:space="preserve">The Competition Authority,  </w:t>
        <w:br/>
        <w:t xml:space="preserve">Having regard to the complete notification file submitted to the mergers department on March 2, 2018,  </w:t>
        <w:br/>
        <w:t xml:space="preserve">concerning the exclusive control acquisition of Mottin SAS by Coopérative U Enseigne SA, formalized by a share transfer agreement dated  </w:t>
        <w:br/>
        <w:t xml:space="preserve">February 26, 2018;  </w:t>
        <w:br/>
        <w:t xml:space="preserve">Having regard to Book IV of the Commercial Code relating to freedom of prices and competition, and  </w:t>
        <w:br/>
        <w:t xml:space="preserve">notably its Articles L. 430-1 to L. 430-7;  </w:t>
        <w:br/>
        <w:t xml:space="preserve">Adopts the following decision:  </w:t>
        <w:br/>
        <w:t xml:space="preserve">1. The notified operation consists of the exclusive control acquisition by Coopérative U Enseigne SA  </w:t>
        <w:br/>
        <w:t xml:space="preserve">of Mottin SAS, which operates a food-dominant retail outlet with an area of 2,037 m², under the brand Super U, located in Blangy-sur-Bresle (76).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18-047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