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https://www.autoritedelaconcurrence.fr/fr/decision-de-controle-des-concentrations/relative-la-prise-de-controle-exclusif-de-la-societe-mp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26-DCC-67 of March 12, 2026</w:t>
        <w:br/>
        <w:t>regarding the exclusive control acquisition of the company MP Groupe by the</w:t>
        <w:br/>
        <w:t>company Wepa Hygieneprodukte</w:t>
        <w:br/>
        <w:t>The Competition Authority,</w:t>
        <w:br/>
        <w:t>Having regard to the complete notification file sent to the mergers department on February 24, 2026,</w:t>
        <w:br/>
        <w:t>concerning the exclusive control acquisition of the company MP Groupe and its subsidiaries by the company</w:t>
        <w:br/>
        <w:t>Wepa Hygieneprodukte GmbH, formalized by a share transfer agreement signed on</w:t>
        <w:br/>
        <w:t>February 20, 2026;</w:t>
        <w:br/>
        <w:t>Having regard to Book IV of the Commercial Code relating to the freedom of prices and competition, and</w:t>
        <w:br/>
        <w:t>notably its Articles L. 430-1 to L. 430-7;</w:t>
        <w:br/>
        <w:t>Adopts the following decision:</w:t>
        <w:br/>
        <w:t>1. The notified operation consists of the acquisition by the company Wepa Hygieneprodukte, belonging</w:t>
        <w:br/>
        <w:t>to the Wepa group, of the majority of the share capital and voting rights of the company MP Groupe</w:t>
        <w:br/>
        <w:t>and its subsidiaries, conferring exclusive control of the acquirer over the target. The relevant sector</w:t>
        <w:br/>
        <w:t>is that of the manufacture and marketing of hygiene and maintenance products for professional use. The operation constitutes a concentration within the meaning of Article L. 430-1 of the Commercial Code. Given the turnover achieved by the companies concerned,</w:t>
        <w:br/>
        <w:t>the operation does not fall under the jurisdiction of the European Union. On the other hand, the control thresholds mentioned in I of Article L. 430-2 of the Commercial Code are exceeded. This</w:t>
        <w:br/>
        <w:t>operation is therefore subject to the provisions of Articles L. 430-3 and following of the Commercial Code relating to economic concentration.</w:t>
        <w:br/>
        <w:t>2. In light of the elements of the file, the operation is not likely to harm competition</w:t>
        <w:br/>
        <w:t>in the relevant markets.</w:t>
      </w:r>
    </w:p>
    <w:p>
      <w:r>
        <w:t>DECIDES</w:t>
        <w:br/>
        <w:t>Sole Article: The operation notified under number 26-046 is authorized.</w:t>
        <w:br/>
        <w:t>The President,</w:t>
        <w:br/>
        <w:t>Benoît Cœuré</w:t>
        <w:br/>
        <w:t>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