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https://www.autoritedelaconcurrence.fr/fr/decision-de-controle-des-concentrations/relative-la-prise-de-controle-exclusif-de-la-societe-murna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12-DCC-77 of June 7, 2012  </w:t>
        <w:br/>
        <w:t xml:space="preserve">regarding the exclusive control acquisition of the company Murna  </w:t>
        <w:br/>
        <w:t xml:space="preserve">by the company ITM Alimentaire Ouest  </w:t>
        <w:br/>
        <w:t>The Competition Authority,</w:t>
      </w:r>
    </w:p>
    <w:p>
      <w:r>
        <w:t xml:space="preserve">Having regard to the complete notification file submitted to the mergers department on May 15, 2012,  </w:t>
        <w:br/>
        <w:t xml:space="preserve">concerning the exclusive control acquisition of the company Murna by the company ITM Alimentaire Ouest  </w:t>
        <w:br/>
        <w:t>formalized by a transfer protocol dated May 11, 2012;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company Murna, operating  </w:t>
        <w:br/>
        <w:t xml:space="preserve">a retail business predominantly in food distribution, under the Intermarché brand,  </w:t>
        <w:br/>
        <w:t xml:space="preserve">with a surface area of 2,900 m² and located in the city of Concarneau (29), by the company ITM  </w:t>
        <w:br/>
        <w:t xml:space="preserve">Alimentaire Ouest. It constitutes a concentration operation within the meaning of Article L. 430-1  </w:t>
        <w:br/>
        <w:t xml:space="preserve">of the Commercial Code. Given the revenues generated by the companies involved, the operation does not have a community dimension. On the other hand, the control thresholds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12-085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