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https://www.autoritedelaconcurrence.fr/fr/decision-de-controle-des-concentrations/relative-la-prise-de-controle-exclusif-de-la-societe-neoen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25-DCC-282 of November 20, 2025</w:t>
        <w:br/>
        <w:t>regarding the exclusive control acquisition of the company Neoen Production 3</w:t>
        <w:br/>
        <w:t>by the company ENI Plenitude</w:t>
        <w:br/>
        <w:t>The Competition Authority,</w:t>
        <w:br/>
        <w:t>Having regard to the complete notification file submitted to the mergers department on October 27, 2025,</w:t>
        <w:br/>
        <w:t>concerning the exclusive control acquisition of the company Neoen Production 3 by the company</w:t>
        <w:br/>
        <w:t>ENI Plenitude, formalized by the acceptance of a firm offer on October 22, 2025;</w:t>
        <w:br/>
        <w:t>Having regard to Book IV of the Commercial Code relating to the freedom of prices and competition, and</w:t>
        <w:br/>
        <w:t>notably its Articles L. 430-1 to L. 430-7;</w:t>
        <w:br/>
        <w:t>Having regard to the other documents in the file;</w:t>
        <w:br/>
        <w:t>Adopts the following decision:</w:t>
        <w:br/>
        <w:t>1. The notified operation consists of the acquisition by the company ENI Plenitude S.p.A, controlled by</w:t>
        <w:br/>
        <w:t>the company ENI S.p.A of all the shares and voting rights of the company</w:t>
        <w:br/>
        <w:t>Neoen Production 3, which is active in renewable energy production in France.</w:t>
        <w:br/>
        <w:t>It constitutes a concentration operation within the meaning of Article L. 430-1 of the Commercial Code. Given the turnover achieved by the concerned companies,</w:t>
        <w:br/>
        <w:t>the operation does not fall under the jurisdiction of the European Union. However, the control thresholds mentioned in I of Article L. 430-2 of the Commercial Code are exceeded. This</w:t>
        <w:br/>
        <w:t>operation is therefore subject to the provisions of Articles L. 430-3 and following of the Commercial Code relating to economic concentration.</w:t>
        <w:br/>
        <w:t>2. In light of the elements of the file, the operation is not likely to harm competition</w:t>
        <w:br/>
        <w:t>in the relevant markets. This authorization decision is without prejudice to the examination of this</w:t>
        <w:br/>
        <w:t>operation under the control of foreign investments in France.</w:t>
      </w:r>
    </w:p>
    <w:p>
      <w:r>
        <w:t>DECIDES</w:t>
        <w:br/>
        <w:t>Sole Article: The operation notified under number 25-293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