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https://www.autoritedelaconcurrence.fr/fr/decision-de-controle-des-concentrations/relative-la-prise-de-controle-exclusif-de-la-societe-neonen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24-DCC-159 of July 18, 2024  </w:t>
        <w:br/>
        <w:t xml:space="preserve">regarding the exclusive control acquisition of the company Neonen by the  </w:t>
        <w:br/>
        <w:t>company Brookfield Renewable Holdings</w:t>
      </w:r>
    </w:p>
    <w:p>
      <w:r>
        <w:t>The Competition Authority,</w:t>
      </w:r>
    </w:p>
    <w:p>
      <w:r>
        <w:t xml:space="preserve">Having regard to the complete notification file submitted to the mergers department on July 1, 2024,  </w:t>
        <w:br/>
        <w:t xml:space="preserve">concerning the exclusive control acquisition of the company Neonen by the company Brookfield Renewable  </w:t>
        <w:br/>
        <w:t>Holdings, formalized by a share transfer agreement signed on June 24,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acquisition by the company Brookfield Renewable Holdings,  </w:t>
        <w:br/>
        <w:t xml:space="preserve">ultimately controlled by Brookfield Corporation, of 53.12% of the share capital and 53.19%  </w:t>
        <w:br/>
        <w:t xml:space="preserve">of the voting rights of the company Neonen, which is active in the development,  </w:t>
        <w:br/>
        <w:t xml:space="preserve">construction, financing, and management of wind farms, photovoltaic power plants, and  </w:t>
        <w:br/>
        <w:t xml:space="preserve">battery energy storage system projects. It constitutes a concentration operation within the meaning of  </w:t>
        <w:br/>
        <w:t xml:space="preserve">Article L. 430-1 of the Commercial Code. Given the revenues generated by the companies involved,  </w:t>
        <w:br/>
        <w:t xml:space="preserve">the operation does not fall under the jurisdiction of the European Union. However, the control thresholds  </w:t>
        <w:br/>
        <w:t xml:space="preserve">mentioned in point I of Article L. 430-2 of the Commercial Code are exceeded. This operation is therefore  </w:t>
        <w:br/>
        <w:t xml:space="preserve">subject to the provisions of Articles L. 430-3 and following of the Commercial Code relating to economic  </w:t>
        <w:br/>
        <w:t>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24-162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