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https://www.autoritedelaconcurrence.fr/fr/decision-de-controle-des-concentrations/relative-la-prise-de-controle-exclusif-de-la-societe-nexity</w:t>
      </w:r>
    </w:p>
    <w:p>
      <w:r>
        <w:t>Pages translated : 2</w:t>
      </w:r>
    </w:p>
    <w:p/>
    <w:p>
      <w:r>
        <w:rPr>
          <w:b/>
        </w:rPr>
        <w:t>[Pages 1–2]</w:t>
      </w:r>
    </w:p>
    <w:p>
      <w:r>
        <w:t xml:space="preserve">FRENCH REPUBLIC  </w:t>
        <w:br/>
        <w:t xml:space="preserve">Decision No. 24-DCC-189 of August 23, 2024  </w:t>
        <w:br/>
        <w:t xml:space="preserve">regarding the exclusive control acquisition of the company Nexity Property Management by the company Crédit Agricole Immobilier  </w:t>
        <w:br/>
        <w:t xml:space="preserve">The Competition Authority,  </w:t>
        <w:br/>
        <w:t xml:space="preserve">Having regard to the complete notification file sent to the mergers department on August 2, 2024, concerning the exclusive control acquisition of the company Nexity Property Management by the company Crédit Agricole Immobilier formalized by a unilateral promise of sale dated July 10, 2024, to which a draft transfer deed under suspensive condition is annexed;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Crédit Agricole Immobilier of 100% of the capital and voting rights of the company Nexity Property Management, which is active in the real estate management sector in France. The operation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24-198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