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https://www.autoritedelaconcurrence.fr/fr/decision-de-controle-des-concentrations/relative-la-prise-de-controle-exclusif-de-la-societe-nice</w:t>
      </w:r>
    </w:p>
    <w:p>
      <w:r>
        <w:t>Pages translated : 2</w:t>
      </w:r>
    </w:p>
    <w:p/>
    <w:p>
      <w:r>
        <w:rPr>
          <w:b/>
        </w:rPr>
        <w:t>[Pages 1–2]</w:t>
      </w:r>
    </w:p>
    <w:p>
      <w:r>
        <w:t xml:space="preserve">FRENCH REPUBLIC  </w:t>
        <w:br/>
        <w:t xml:space="preserve">Decision No. 25-DCC-163 of July 10, 2025  </w:t>
        <w:br/>
        <w:t xml:space="preserve">regarding the exclusive control acquisition of the company Nice Premium Motors by the company L.Louyet  </w:t>
        <w:br/>
        <w:t xml:space="preserve">The Competition Authority,  </w:t>
        <w:br/>
        <w:t xml:space="preserve">Having regard to the complete notification file sent to the mergers department on June 25, 2025,  </w:t>
        <w:br/>
        <w:t xml:space="preserve">concerning the exclusive control acquisition of the company Nice Premium Motors by the company L.Louyet,  </w:t>
        <w:br/>
        <w:t xml:space="preserve">formalized by a transfer protocol signed on June 19,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L.Louyet of the company Nice Premium Motors, active in the automotive distribution markets in the Alpes-Maritimes (06). This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25-164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