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https://www.autoritedelaconcurrence.fr/fr/decision-de-controle-des-concentrations/relative-la-prise-de-controle-exclusif-de-la-societe-nobia</w:t>
      </w:r>
    </w:p>
    <w:p>
      <w:r>
        <w:t>Pages translated : 12</w:t>
      </w:r>
    </w:p>
    <w:p/>
    <w:p>
      <w:r>
        <w:rPr>
          <w:b/>
        </w:rPr>
        <w:t>[Pages 1–3]</w:t>
      </w:r>
    </w:p>
    <w:p>
      <w:r>
        <w:t xml:space="preserve">FRENCH REPUBLIC  </w:t>
        <w:br/>
        <w:t xml:space="preserve">Decision No. 15-DCC-15 of February 23, 2015  </w:t>
        <w:br/>
        <w:t xml:space="preserve">regarding the exclusive control of the company Nobia Holding  </w:t>
        <w:br/>
        <w:t xml:space="preserve">France SAS by the company Fournier SA  </w:t>
        <w:br/>
        <w:t xml:space="preserve">The Competition Authority,  </w:t>
        <w:br/>
        <w:t xml:space="preserve">Having regard to the notification file submitted in full to the concentrations service on January 19, 2015,  </w:t>
        <w:br/>
        <w:t xml:space="preserve">regarding the exclusive control by the company Fournier SA of the company Nobia Holding  </w:t>
        <w:br/>
        <w:t xml:space="preserve">SAS, formalized by a share transfer agreement signed on October 30, 2014;  </w:t>
        <w:br/>
        <w:t xml:space="preserve">Having regard to Book IV of the Commercial Code relating to price freedom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Financière des Alpes (“FINALP”) is a simplified joint-stock company almost  </w:t>
        <w:br/>
        <w:t xml:space="preserve">exclusively owned by members of the Fournier family. FINALP is the holding company  </w:t>
        <w:br/>
        <w:t xml:space="preserve">of the Fournier group, a manufacturer of kitchen furniture, whether or not associated with  </w:t>
        <w:br/>
        <w:t xml:space="preserve">household appliances, as well as bathroom furniture, which it markets through  </w:t>
        <w:br/>
        <w:t xml:space="preserve">its retail networks. In France, the company Fournier SA, 100% owned by FINALP and  </w:t>
        <w:br/>
        <w:t xml:space="preserve">the members of the Fournier family, operates three networks of stores (Perene, Mobalpa,  </w:t>
        <w:br/>
        <w:t xml:space="preserve">and Socoo’c) dedicated to the distribution of integrated kitchens, bathrooms, and storage  </w:t>
        <w:br/>
        <w:t xml:space="preserve">elements, to individual customers. In France, the Perene brand is a network of 138 stores,  </w:t>
        <w:br/>
        <w:t xml:space="preserve">two of which are operated directly by the Fournier group and 136 under concessions. For its part,  </w:t>
        <w:br/>
        <w:t xml:space="preserve">the Mobalpa brand is a network of 270 stores, 12 of which are operated directly by the Fournier group.  </w:t>
        <w:br/>
        <w:t xml:space="preserve">Finally, the Socoo’c brand is a network of 39 stores, 36 of which are franchised and three operated  </w:t>
        <w:br/>
        <w:t xml:space="preserve">directly by the Fournier group. The integrated stores are almost all owned by the company Sodimob,  </w:t>
        <w:br/>
        <w:t xml:space="preserve">a 100% subsidiary of the company Fournier SA.  </w:t>
        <w:br/>
        <w:t xml:space="preserve">2. Nobia Holding France is a simplified joint-stock company wholly owned by the Swedish  </w:t>
        <w:br/>
        <w:t xml:space="preserve">company Nobia Sverige AB, which is itself 100% owned by the company Nobia AB, a leader  </w:t>
        <w:br/>
        <w:t xml:space="preserve">in Europe in the design and distribution of integrated kitchens. In France, the Nobia group  </w:t>
        <w:br/>
        <w:t xml:space="preserve">is present through its subsidiary, the company Hygena Cuisines SAS, a 100% subsidiary of  </w:t>
        <w:br/>
        <w:t xml:space="preserve">Nobia Holding France. Hygena Cuisines is active in the sector of distributing integrated kitchens  </w:t>
        <w:br/>
        <w:t xml:space="preserve">to individual customers. As of the end of 2014, Hygena Cuisines operated 125 integrated stores  </w:t>
        <w:br/>
        <w:t xml:space="preserve">in mainland France.  </w:t>
        <w:br/>
        <w:t xml:space="preserve">3. According to the terms of the share transfer agreement signed on October 30, 2014, and its amendment  </w:t>
        <w:br/>
        <w:t xml:space="preserve">dated January 13, 2015, the operation consists of the acquisition by the company Fournier SA of  </w:t>
        <w:br/>
        <w:t xml:space="preserve">all the shares of the company Nobia Holding France SAS, including the shares of the  </w:t>
        <w:br/>
        <w:t xml:space="preserve">company Hygena Cuisines SAS. As it results in the exclusive control of Nobia Holding France SAS  </w:t>
        <w:br/>
        <w:t xml:space="preserve">and its subsidiary Hygena Cuisines SAS by the company Fournier SA, this operation constitutes a  </w:t>
        <w:br/>
        <w:t xml:space="preserve">concentration operation within the meaning of Article L. 430-1 of the Commercial Code.  </w:t>
        <w:br/>
        <w:t xml:space="preserve">4. The concerned companies together achieve a total turnover excluding tax on a global scale of more  </w:t>
        <w:br/>
        <w:t xml:space="preserve">than 150 million euros (FINALP: […] euros for the fiscal year ending December 31, 2013; Nobia  </w:t>
        <w:br/>
        <w:t xml:space="preserve">Holding France SAS: […] euros for the same fiscal year). Each of these companies has achieved in  </w:t>
        <w:br/>
        <w:t xml:space="preserve">France a turnover exceeding 50 million euros (FINALP: […] euros for the fiscal year ending December  </w:t>
        <w:br/>
        <w:t xml:space="preserve">31, 2013; Nobia Holding France SAS: […] euros for the same fiscal year). Given these turnover figures,  </w:t>
        <w:br/>
        <w:t xml:space="preserve">the operation does not fall under the jurisdiction of the European Union. On the other hand, the  </w:t>
        <w:br/>
        <w:t xml:space="preserve">control thresholds mentioned in I of Article L. 430-2 of the Commercial Code are exceeded. This  </w:t>
        <w:br/>
        <w:t xml:space="preserve">operation is therefore subject to the provisions of Articles L. 430-3 and following of the Commercial  </w:t>
        <w:br/>
        <w:t xml:space="preserve">Code relating to economic concentration.  </w:t>
        <w:br/>
        <w:t xml:space="preserve">II. Delimitation of the relevant markets  </w:t>
        <w:br/>
        <w:t xml:space="preserve">5. The Fournier group (Socoo’c, Mobalpa, Perene) and Hygena Cuisines are simultaneously active  </w:t>
        <w:br/>
        <w:t xml:space="preserve">in the sector of selling integrated kitchens, whether or not associated with household appliances.  </w:t>
        <w:br/>
        <w:t xml:space="preserve">6. Within the sector of selling integrated kitchens, the Competition Authority distinguishes  </w:t>
        <w:br/>
        <w:t xml:space="preserve">two categories of markets1:  </w:t>
        <w:br/>
        <w:t xml:space="preserve">- the upstream supply market, on which companies active in the downstream market are in contact,  </w:t>
        <w:br/>
        <w:t xml:space="preserve">as customers, with the manufacturers of the products they distribute;  </w:t>
        <w:br/>
        <w:t xml:space="preserve">- the downstream distribution market, on which retail distributors of integrated kitchens are in  </w:t>
        <w:br/>
        <w:t xml:space="preserve">contact with final consumers.  </w:t>
        <w:br/>
        <w:t xml:space="preserve">7. In this case, both parties are active in the downstream market for the distribution of integrated kitchens.  </w:t>
        <w:br/>
        <w:t xml:space="preserve">Hygena Cuisines is also involved in the upstream supply market for integrated kitchens as a customer,  </w:t>
        <w:br/>
        <w:t xml:space="preserve">a market on which the Fournier group is present as a supplier. This market will therefore be analyzed  </w:t>
        <w:br/>
        <w:t xml:space="preserve">in terms of vertical effects.  </w:t>
        <w:br/>
        <w:t xml:space="preserve">1 Decision No. 09-DCC-22 of July 20, 2009, regarding the joint control of the company Groupe Arthur Bonnet by the companies  </w:t>
        <w:br/>
        <w:t xml:space="preserve">Snaidero and Nobilia.  </w:t>
        <w:br/>
        <w:t xml:space="preserve">2  </w:t>
        <w:br/>
        <w:t xml:space="preserve">Finally, for the needs of their activities, the Fournier group and Hygena Cuisines are present as buyers  </w:t>
        <w:br/>
        <w:t xml:space="preserve">in the upstream supply markets for household appliances and in the markets for sanitary equipment.  </w:t>
        <w:br/>
        <w:t xml:space="preserve">A. THE MARKET FOR PRODUCTS  </w:t>
        <w:br/>
        <w:t xml:space="preserve">1. THE UPSTREAM MARKETS FOR SUPPLYING INTEGRATED KITCHENS  </w:t>
        <w:br/>
        <w:t xml:space="preserve">8. In its Decision No. 03-D-39, the Competition Council estimated that the concept of integrated kitchen  </w:t>
        <w:br/>
        <w:t xml:space="preserve">presents a specificity for suppliers who sometimes provide different general sales conditions for kitchen  </w:t>
        <w:br/>
        <w:t xml:space="preserve">designers and for distributors of "free-standing" products (small retailers or large specialized stores)2.  </w:t>
        <w:br/>
        <w:t xml:space="preserve">Following the Council's decision, the Authority recognized the existence of a market for the supply of  </w:t>
        <w:br/>
        <w:t xml:space="preserve">integrated kitchens that connects manufacturers and retail distributors3.  </w:t>
        <w:br/>
        <w:t xml:space="preserve">9. The notifying party considers, for its part, that it is not relevant to identify a specific market for  </w:t>
        <w:br/>
        <w:t xml:space="preserve">the supply of integrated kitchens. According to its analysis, integrated kitchens would belong to the  </w:t>
        <w:br/>
        <w:t xml:space="preserve">broader market for the supply of kitchen furniture, without distinction as to whether the furniture is  </w:t>
        <w:br/>
        <w:t xml:space="preserve">designed as part of a predefined model or to be sold individually.  </w:t>
        <w:br/>
        <w:t xml:space="preserve">10. In this case, the question of the exact delimitation of this market can, however, be left open,  </w:t>
        <w:br/>
        <w:t xml:space="preserve">as the conclusions of the analysis remain unchanged regardless of the hypothesis adopted.  </w:t>
        <w:br/>
        <w:t xml:space="preserve">2. THE UPSTREAM MARKET FOR SUPPLYING HOUSEHOLD APPLIANCES  </w:t>
        <w:br/>
        <w:t xml:space="preserve">11. Regarding the upstream markets for supplying household appliances, the decision-making practice has  </w:t>
        <w:br/>
        <w:t xml:space="preserve">noted that "producers manufacture specific products or groups of products and are not technically able to  </w:t>
        <w:br/>
        <w:t xml:space="preserve">easily convert to the manufacture of other products without significant costs"4. Furthermore, "at the  </w:t>
        <w:br/>
        <w:t xml:space="preserve">supply level, it can be considered that there are as many markets as there are families of products  </w:t>
        <w:br/>
        <w:t xml:space="preserve">subject to negotiation, with each distributor putting various suppliers in competition in each of the markets"5.  </w:t>
        <w:br/>
        <w:t xml:space="preserve">Thus, a distribution by product group has been considered the most relevant.  </w:t>
        <w:br/>
        <w:t xml:space="preserve">12. Based on the organization of the "purchasing" divisions of distributors, the decision-making practice  </w:t>
        <w:br/>
        <w:t xml:space="preserve">has considered a segmentation according to the following product groups: (i) furniture; (ii) bazaar-decoration;  </w:t>
        <w:br/>
        <w:t xml:space="preserve">(iii) large household appliances; (iv) small household appliances; (v)  </w:t>
        <w:br/>
        <w:t xml:space="preserve">2 Decision No. 03-D-39 of September 4, 2003, regarding the competitive situation in the franchise network created by the company Plus  </w:t>
        <w:br/>
        <w:t xml:space="preserve">International.  </w:t>
        <w:br/>
        <w:t xml:space="preserve">3 See the aforementioned Decision No. 09-DCC-22.  </w:t>
        <w:br/>
        <w:t xml:space="preserve">4 See Opinion No. 07-A-06 of July 16, 2007, regarding the acquisition by the company Cafom of the distribution pole of the company  </w:t>
        <w:br/>
        <w:t xml:space="preserve">Fincar in the home equipment sector and the decisions of the Competition Authority No. 09-DCC-21 of July 23, 2009, regarding the  </w:t>
        <w:br/>
        <w:t xml:space="preserve">exclusive control of the company DVMM by the But group and Decision No. 09-DCC-62 of November 2, 2009, regarding the  </w:t>
        <w:br/>
        <w:t xml:space="preserve">exclusive control of the company Modera by the But group and No. 11-DCC-87 of June 10, 2011, regarding the  </w:t>
        <w:br/>
        <w:t xml:space="preserve">exclusive control of the company Media Concorde SNC by the High Tech Multicanal Group.  </w:t>
        <w:br/>
        <w:t xml:space="preserve">5 Id.  </w:t>
        <w:br/>
        <w:t>3</w:t>
      </w:r>
    </w:p>
    <w:p>
      <w:r>
        <w:rPr>
          <w:b/>
        </w:rPr>
        <w:t>[Pages 4–6]</w:t>
      </w:r>
    </w:p>
    <w:p>
      <w:r>
        <w:t xml:space="preserve">apparel / cinema; (vi) hi-fi / sound devices; (vii) TV / video devices; (viii) computers / peripherals6.  </w:t>
        <w:br/>
        <w:t xml:space="preserve">13. In this case, both parties source "large household appliances." Regarding this type of product, the European Commission has determined that it is not necessary to distinguish between the supply of built-in appliances and that of freestanding appliances due to the substitutability from the supply side, as all major household appliance manufacturers offer a wide range of products, on the one hand, and the industrial tool is common to the production of both types of appliances7. However, the notifying party has retained a market limited to built-in household appliances for the calculation of its market shares.  </w:t>
        <w:br/>
        <w:t xml:space="preserve">14. There is no reason to challenge the delineations retained by the decision-making practice in the context of the present transaction.  </w:t>
        <w:br/>
        <w:t xml:space="preserve">3. THE UPSTREAM MARKET FOR SUPPLYING SANITARY EQUIPMENT  </w:t>
        <w:br/>
        <w:t xml:space="preserve">15. The parties operate simultaneously in the upstream market for the supply of sanitary products (bathtubs, shower trays, toilets, sinks, etc.), primarily in sinks and faucets; the marketing of integrated kitchens incorporating such elements. The parties identify a market for the trade of sanitary articles that would include faucets, hydrotherapy, porcelain, bathtubs, and sanitary ceramics (sinks, bowls, tanks, etc.).  </w:t>
        <w:br/>
        <w:t xml:space="preserve">16. In its Sanitec/Sphinx decision of December 1, 19998, the European Commission considered, while leaving the question open, the existence of a relevant market consisting of all ceramic sanitary equipment except for bathtubs, shower walls, and shower trays, each of which constitutes a distinct market. For its part, the Authority noted in a recent decision that a distinction should be made according to the destination of the equipment (kitchen, bathroom, toilets) or according to the type of products, as most of them have no substitutes. Nevertheless, most manufacturers of sanitary equipment market a wide range of equipment, and most customers purchase the entire range9.  </w:t>
        <w:br/>
        <w:t xml:space="preserve">17. Finally, the decision-making practice10 distinguishes faucets from other sanitary products. Within the faucet market, the European Commission left open the question of whether faucets and mixers belong to distinct markets.  </w:t>
        <w:br/>
        <w:t xml:space="preserve">18. In this case, the exact definition of the upstream market for sanitary products can be left open as the conclusions of the competitive analysis remain unchanged, regardless of the assumptions made.  </w:t>
        <w:br/>
        <w:t xml:space="preserve">6 Decision No. 14-DCC-39 of March 24, 2014, regarding the exclusive control of 12 points of sale under the Atlas and Fly brands by Conforama Développement, point 19.  </w:t>
        <w:br/>
        <w:t xml:space="preserve">7 See the European Commission decision COMP/M.6717 Whirlpool/Alno of December 19, 2012, points 13 and 14.  </w:t>
        <w:br/>
        <w:t xml:space="preserve">8 See the European Commission decision No. IV/M.1578 Sanitec/Sphinx of December 1, 1999.  </w:t>
        <w:br/>
        <w:t xml:space="preserve">9 Decision No. 14-DCC-190 of December 22, 2014, regarding the exclusive control of Sanitec Corporation by Geberit AG, point 24.  </w:t>
        <w:br/>
        <w:t xml:space="preserve">10 See the European Commission decisions COMP/M.2397 BC Funds/Sanitec of June 6, 2001, and COMP/M.3045 Masco/Hansgrohe of December 19, 2002; see also the Authority's decision No. 14-DCC-190 mentioned above, point 7.  </w:t>
        <w:br/>
        <w:t xml:space="preserve">4. THE DOWNSTREAM MARKET FOR RETAIL DISTRIBUTION OF INTEGRATED KITCHENS  </w:t>
        <w:br/>
        <w:t xml:space="preserve">19. Integrated kitchens consist of a set composed of elements of different nature and origin (furniture, household appliances, sanitary products such as sinks and faucets), associated with ancillary services (home visits, preparation of a quote, advice, installation of elements, execution of various works such as carpentry, plumbing, electricity, cement work, tiling, etc.). The kitchen designer assembles these elements and services and offers them to the client as part of a comprehensive service, with the client thus obtaining a "turnkey" product which they agree to pay a price higher than the sum of the different equipment due to the service provided11.  </w:t>
        <w:br/>
        <w:t xml:space="preserve">20. The market test indicates that a specialist kitchen designer offers, beyond the choice of furniture and built-in appliances, a service of advice, delivery, home installation, and measurement. Except for the advisory and design services, most associated services are, in light of market developments, optional and charged additionally. Respondents to the market test also indicated that they resort to subcontracting (craftsmen and approved installers) for the installation of integrated kitchens.  </w:t>
        <w:br/>
        <w:t xml:space="preserve">21. The operators surveyed in the market test have, in their vast majority, confirmed the existence of a market for the marketing of integrated kitchens distinct from the sale of individual kitchen elements. The interviewed actors indeed consider that the sale of an integrated kitchen is not merely about selling furniture but is part of a comprehensive project with services and advice linked to the purchase project.  </w:t>
        <w:br/>
        <w:t xml:space="preserve">22. The notifying party believes that the integrated kitchen furniture it markets has no specificity compared to kitchen furniture in general as they serve the same function from the consumer's perspective. The consumer can indeed replace a single piece of furniture in their kitchen or modernize it rather than change it entirely. Therefore, the notifying party considers that its integrated kitchens belong to the broader market of kitchen furniture, which also includes furniture sold individually.  </w:t>
        <w:br/>
        <w:t xml:space="preserve">23. However, the commercial positioning of the Fournier group's brands is indeed that of a specialist kitchen designer offering, from the demand perspective, a complete service from design to installation of integrated kitchens. This positioning is particularly evident from the franchise and affiliation contracts of the Fournier group, which primarily target an integrated kitchen designer activity. Furthermore, the notifying party itself indicates that all orders for individual furniture represent about 1% of its turnover. This is therefore a marginal commercial activity, mainly within the framework of a supplementary order.  </w:t>
        <w:br/>
        <w:t xml:space="preserve">24. Moreover, regarding the retail sale of furniture products, competition authorities have considered segmenting the downstream market based on the distribution channel12 and the range of products offered13.  </w:t>
        <w:br/>
        <w:t xml:space="preserve">25. In this case, the market test indicates that the main specialist kitchen designers such as the notifying party face competition from large specialized furniture stores (Ikea, But, Alinéa, Conforama), household appliances (Darty, Boulanger), from certain large DIY stores ("GSB") and trades (Castorama, Leroy Merlin, Bois&amp;Matériaux, Gedimat, Batiman), from the multi-specialist brand Lapeyre, and finally from numerous craftsmen and independents. All these operators indeed offer similar products, sometimes from the same manufacturer, among which the consumer arbitrates before making their choice. Therefore, a segmentation by distribution channel of the downstream market for retail distribution of integrated kitchens does not appear relevant.  </w:t>
        <w:br/>
        <w:t xml:space="preserve">26. The majority of responses obtained in the market test also indicate that, except for certain specialist kitchen designers (Poggenpohl, Eggersmann, Siematic, etc.) and craftsmen positioned on very high-end offers, all distributors of integrated kitchens compete with each other by offering a range that covers similar levels of quality.  </w:t>
        <w:br/>
        <w:t xml:space="preserve">27. Specialist kitchen designers are indeed now positioning themselves on entry-level and mid-range offers, like Socoo’c and Hygena with an average price below […] euros including VAT and installation, while some furniture, household appliance, or DIY brands are moving upmarket by expanding their offerings (Darty, But, Leroy Merlin).  </w:t>
        <w:br/>
        <w:t xml:space="preserve">28. In this case, the operation will be analyzed in the downstream market for retail distribution of integrated kitchens across all distribution channels and ranges. In any case, the question of the exact delineation of this market can be left open in the absence of competitive issues.  </w:t>
        <w:br/>
        <w:t xml:space="preserve">B. THE GEOGRAPHICAL DELIMITATION OF MARKETS  </w:t>
        <w:br/>
        <w:t xml:space="preserve">1. THE UPSTREAM MARKET FOR SUPPLYING INTEGRATED KITCHENS  </w:t>
        <w:br/>
        <w:t xml:space="preserve">29. The parties believe that the geographical market for the supply of kitchen furniture has a European dimension.  </w:t>
        <w:br/>
        <w:t xml:space="preserve">30. Regarding the markets for the supply of furniture products, the decision-making practice of competition authorities has retained at least a national or even European dimension14.  </w:t>
        <w:br/>
        <w:t xml:space="preserve">31. There is no reason to challenge this delineation in the context of the present transaction.  </w:t>
        <w:br/>
        <w:t xml:space="preserve">2. THE UPSTREAM MARKET FOR SUPPLYING HOUSEHOLD APPLIANCES  </w:t>
        <w:br/>
        <w:t xml:space="preserve">32. Regarding the market for the supply of household appliances, the decision-making practice of competition authorities has retained at least a national or even European dimension15.  </w:t>
        <w:br/>
        <w:t xml:space="preserve">33. There is no reason to challenge this delineation in the context of the present transaction.  </w:t>
        <w:br/>
        <w:t xml:space="preserve">14 See decision No. 09-DCC-22 mentioned above; see also the European Commission decisions COMP/M.4392 DSGI/FR-Invest/F-Group JV and COMP/M.4226 DGSI/Fotovista of June 29, 2006, and decisions No. 11-DCC-123 of September 14, 2011, regarding the exclusive control of the companies Habitat France SAS, Compania de Equipamientos del Hogar – Habitat SA, and Habitat Deutschland GmbH by Cafom, and No. 14-DCC-39 mentioned above, point 34.  </w:t>
        <w:br/>
        <w:t>15 See decision No. 14-DCC-28 of March 5, 2014, regarding the exclusive control of Mistergooddeal SA by the Darty group, point 33.</w:t>
      </w:r>
    </w:p>
    <w:p>
      <w:r>
        <w:rPr>
          <w:b/>
        </w:rPr>
        <w:t>[Pages 7–9]</w:t>
      </w:r>
    </w:p>
    <w:p>
      <w:r>
        <w:t>3. THE UPSTREAM MARKET FOR SUPPLYING SANITARY PRODUCTS</w:t>
        <w:br/>
        <w:t>34. Regarding the geographical delineation of the faucet market, the Commission considered that several factors, including the existence of price differences between countries and the observation of different positions of players in the markets, indicated the existence of national markets, without definitively resolving the issue16.</w:t>
        <w:br/>
        <w:t>35. Concerning the geographical delineation of the market for other sanitary equipment, the decision-making practice considers that the markets for supplying sanitary products are at least national in scope17.</w:t>
        <w:br/>
        <w:t>36. There is no need to rule on the exact geographical delineation of these markets in the context of the present transaction, as the conclusions of the competitive analysis remain unchanged regardless of the delineation adopted.</w:t>
        <w:br/>
        <w:t>4. THE DOWNSTREAM MARKET FOR RETAIL SALES OF INTEGRATED KITCHENS</w:t>
        <w:br/>
        <w:t>37. In the sector of retail trade in physical stores, competition is primarily exercised from the consumer's perspective at the local level in markets whose size varies depending on the type of products concerned and the attractiveness of the stores. Regarding the distribution of furniture and household appliances, French competition authorities estimate that consumers are generally willing to travel for 20 to 45 minutes to reach a store and compare products and prices from one brand to another18.</w:t>
        <w:br/>
        <w:t>38. In this case, the notifying party estimates that for the purchase of an integrated kitchen, the consumer is willing to make a car trip lasting at least 40 minutes. The majority of integrated kitchen distributors surveyed in the market test, including large furniture retailers and specialist kitchen designers, confirm this estimate. The market test corroborates that consumers are willing to make relatively long trips for a "durable good" whose average price charged, with or without installation, is several thousand euros.</w:t>
        <w:br/>
        <w:t>39. Furthermore, the majority of respondents to the market test believe that the delineation of catchment areas should be more restricted (20 minutes of travel) for stores located in city centers. However, this question can be left open in the context of the present transaction as the competitive analysis remains unchanged for the two target points of sale located in the city center, regardless of the delineation adopted.</w:t>
        <w:br/>
        <w:t>40. In this case, the analysis will therefore be conducted on catchment areas of 40 minutes of car travel around the relevant points of sale.</w:t>
        <w:br/>
        <w:t>16 See decision no. 14-DCC-190 cited above, point 8.</w:t>
        <w:br/>
        <w:t>17 See decision no. 12-DCC-41 of March 23, 2012, regarding the exclusive control of the company Brossette by the company Point P, point 54.</w:t>
        <w:br/>
        <w:t>18 See decisions no. 14-DCC-39, 11-DCC-78, 11-DCC-87 cited above and the opinion of the Competition Council no. 07-A-06 cited above.</w:t>
      </w:r>
    </w:p>
    <w:p>
      <w:r>
        <w:t>III. Competitive Analysis</w:t>
        <w:br/>
        <w:t>A. ANALYSIS OF HORIZONTAL EFFECTS</w:t>
        <w:br/>
        <w:t>1. ON UPSTREAM SUPPLY MARKETS</w:t>
        <w:br/>
        <w:t>41. Regarding the supply markets, the data provided by the notifying party indicates that following the transaction, the new entity's purchases of household appliances and sanitary products will represent at most 5% of the market, regardless of the delineation adopted.</w:t>
        <w:br/>
        <w:t>42. Consequently, the present transaction is unlikely to raise competition concerns across all the relevant upstream markets.</w:t>
        <w:br/>
        <w:t>2. DOWNSTREAM MARKETS FOR RETAIL DISTRIBUTION OF INTEGRATED KITCHENS</w:t>
        <w:br/>
        <w:t>a) Methodological point</w:t>
        <w:br/>
        <w:t>43. The Authority and the Council of State have reiterated that a distributor's market power must be assessed by taking into account the stores owned and those operated in a network, regardless of their legal status, as long as their commercial policy is not sufficiently autonomous from the head of the network. It is therefore necessary to determine whether the franchised and concession distributors of the Socoo’c, Mobalpa, and Perene networks should be linked to the distribution activities of the parties for the purposes of the competitive analysis.</w:t>
        <w:br/>
        <w:t>44. The Authority has notably considered that the following criteria allow for inferring the lack of autonomy of network members: (i) the possibility for the head of the network to set maximum prices for its members affecting the member's freedom to set its prices independently, (ii) the supply obligations of members to purchase a significant portion of their products from the group, (iii) the obligation to respect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materials, (v) the obligation to reference more than 50% of the product lines of the head of the network, (vi) the more or less long duration of contracts.</w:t>
        <w:br/>
        <w:t>45. In this case, the analysis of the standard concession contracts of the relevant networks confirms that the concessionaires must be integrated into the market power of the acquiring group. It should also be noted that, as specified by the notifying party, following the transaction, the Hygena points of sale will be integrated into the Socoo’c network, which will primarily shift to a branch model. Furthermore, the Socoo’c points of sale that will remain operated under franchise will be linked to the head of the network by the terms of a franchise contract that closely regulates their commercial policy.</w:t>
        <w:br/>
        <w:t>46. It follows from the above that the franchisees and concessionaires of the Socoo’c, Mobalpa, and Perene networks have low commercial autonomy compared to the head of the network. The local competitive analysis will therefore take into account the franchisees and concessionaires of the three networks of the Fournier group.</w:t>
      </w:r>
    </w:p>
    <w:p>
      <w:r>
        <w:t>b) At the national level</w:t>
        <w:br/>
        <w:t>Weight of the new entity following the transaction</w:t>
        <w:br/>
        <w:t>47. The parties are simultaneously active in the retail market for integrated kitchens through stores owned by Hygena and stores primarily managed under franchise and concession by the Fournier group. Following the transaction, the new entity will be present in this sector through 572 points of sale (including 125 business assets currently operated under the Hygena brand)19. It will therefore have, as a specialist kitchen designer, a dense network covering all of France, particularly in medium-sized cities.</w:t>
        <w:br/>
        <w:t>48. There is no public data or specific studies on the sale of fitted kitchens that allow for determining the market shares of the parties. According to the Meubloscope 2014 study conducted by IPEA and provided by the notifying party, the overall kitchen furniture market was valued at €2.36 billion in 2013, a slight decrease compared to 2012, but with an average annual growth rate over the period 2003-2013 of around 3.5%. According to this study, the sale of "complete kitchens" represents 55% (in value) of the market, or €1.3 billion. However, the notifying party disputes the relevance of this data for the sole market of integrated kitchen sales.</w:t>
        <w:br/>
        <w:t>49. Based on the information provided by the notifying party and the data collected by the investigation services during the market test, it appears that the new entity will have a market share of around [10-20]% ([10-20]% for Fournier and [0-5]% for Hygena) in the national market for the distribution of integrated kitchens. Ikea, the market leader, has a market share of around [20-30]% with 30 stores in France. Darty, through its 70 "Darty kitchens" stores, and Lapeyre (approximately 130 stores) have a market share of around 2 to 3%. Among the networks of specialist kitchen designers, SALM (Cuisinella and Schmidt) has a market share of about 15% and FBD International (Ixina, Cuisines Plus, Cuisines Références) has a market share of around 6 to 8%. Finally, it should be noted that artisans and independents, whose national market share is not relevant in itself, exert real competitive pressure in certain local markets.</w:t>
        <w:br/>
        <w:t>c) Local market analysis</w:t>
        <w:br/>
        <w:t>On the calculation of market shares</w:t>
        <w:br/>
        <w:t>50. In this case, estimating the market shares of the parties and competitors faces the difficulty for the parties to gather the revenue figures generated by competing stores in each area, either because they are independent stores that are not required to file their annual accounts, or because it is not possible to isolate the revenue generated in the segment of integrated kitchen sales by large brands.</w:t>
        <w:br/>
        <w:t>51. Furthermore, the parties believe that there is very little correlation between the revenue generated by a point of sale and the sales area allocated to kitchen sales. The data from the parties as well as the market test confirm that a direct correlation between sales area and revenue of the point of sale cannot be inferred. Therefore, an estimation of the market shares of the parties based on sales area appears unreliable.</w:t>
        <w:br/>
        <w:t>19 Assuming that the Fournier group retains all points of sale.</w:t>
      </w:r>
    </w:p>
    <w:p>
      <w:r>
        <w:rPr>
          <w:b/>
        </w:rPr>
        <w:t>[Pages 10–12]</w:t>
      </w:r>
    </w:p>
    <w:p>
      <w:r>
        <w:t>52. The notifying party proposed an estimate of its position as well as those of its competitors based on a database from a marketing and geostrategy firm that allows for the evaluation of the market size for kitchen sales by catchment area according to various criteria, such as the number of housing units in the area, average kitchen purchases per housing unit, and a consumption index. However, this method is not acceptable as it essentially depends on the extent of the area and does not take into account the actual points of sale present in that area. Furthermore, the results were only provided for 12 areas, and not for all relevant geographical markets.</w:t>
      </w:r>
    </w:p>
    <w:p>
      <w:r>
        <w:t>53. Given these methodological difficulties, the market shares of the parties and those of their competitors were calculated in each local area based on the number of points of sale of the operators present in the area, weighted according to their average turnover collected during the market test20.</w:t>
      </w:r>
    </w:p>
    <w:p>
      <w:r>
        <w:t>On the identification of catchment areas</w:t>
      </w:r>
    </w:p>
    <w:p>
      <w:r>
        <w:t>54. Among the 125 catchment areas identified by the notifying party around Hygena stores, the activities of the parties overlap in 121 areas.</w:t>
      </w:r>
    </w:p>
    <w:p>
      <w:r>
        <w:t>55. Based on the market share calculation method explained above, the risks of harming competition can be ruled out for 112 areas where the market share of the new entity is below 40%. In these areas, the new entity will always face at least four national competitors, brands from the furniture, household appliances, or DIY sectors, as well as specialist kitchen designers. The presence of at least four national competitors indeed guarantees consumers access to an alternative offer to that of the new entity. This diversity of supply is capable of ensuring the free play of competition.</w:t>
      </w:r>
    </w:p>
    <w:p>
      <w:r>
        <w:t>56. The risks of harming competition have also been ruled out in six additional areas (Vichy (03), Saintes (17), Quetigny (21), Le Val-Saint-Père (50), Fayet (63), Albi and Castres (81)) where the market share of the new entity, based on the available data and processed by the investigation services, appears to be slightly above 40%. Indeed, in these areas, the new entity will face at least four national competitors, brands from the furniture, household appliances, or DIY sectors, as well as specialist kitchen designers. The presence of at least four national competitors indeed guarantees consumers access to an alternative offer to that of the new entity. This diversity of supply is capable of ensuring the free play of competition.</w:t>
      </w:r>
    </w:p>
    <w:p>
      <w:r>
        <w:t>57. A more in-depth analysis is thus only necessary in the remaining two areas where the market share of the new entity is likely, based on the available data, to exceed 50%.</w:t>
      </w:r>
    </w:p>
    <w:p>
      <w:r>
        <w:t>58. In the Dieppe (76) area, following the transaction, the Fournier group will hold a market share of approximately 50% due to the presence of a Mobalpa, Socoo’c, and Hygena point of sale. However, the new entity will still face competition from four national brands, namely a Schmidt point of sale (10-20%), a Conforama store (5-10%), and two But stores (5-10%). Furthermore, it is important to consider the Darty store located on the outskirts of the area, which is situated on the road leading to Rouen, the capital of the department.</w:t>
      </w:r>
    </w:p>
    <w:p>
      <w:r>
        <w:t>59. In the Flers (61) area, following the transaction, the Fournier group will hold a market share of approximately 50% due to the presence of a Hygena point of sale (approximately [40-50]%) and a Perene point of sale (approximately [5-10]%). In the Flers area, the Fournier group will still face competition from a Conforama store (20-30%), a Mr Meuble store (0-5%), a Batiman store (5-10%), as well as an independent store, Meubles Batillat (10-20%). Furthermore, it is important to consider the strong attractiveness21 of the Ikea store located on the outskirts of the city of Caen, which is less than an hour's drive from the target store. [Confidential]. The competitive pressure exerted by this brand is therefore greater than what its market share alone would suggest.</w:t>
      </w:r>
    </w:p>
    <w:p>
      <w:r>
        <w:t>60. Given these circumstances, the transaction is not likely to harm competition in the Flers area.</w:t>
      </w:r>
    </w:p>
    <w:p>
      <w:r>
        <w:t>B. ANALYSIS OF VERTICAL EFFECTS</w:t>
      </w:r>
    </w:p>
    <w:p>
      <w:r>
        <w:t>61. A vertical concentration can restrict competition by making access to the markets in which the new entity will operate more difficult, or even potentially driving competitors out or penalizing them by increasing their costs. This lock-in can target downstream markets when the integrated company refuses to sell an input to its downstream competitors.</w:t>
      </w:r>
    </w:p>
    <w:p>
      <w:r>
        <w:t>62. By acquiring the company Hygena Cuisines, active in the downstream markets for the marketing of integrated kitchens, the Fournier group, present in the upstream market for the supply of integrated kitchens both as a buyer and seller, strengthens its vertical integration. Indeed, the Fournier group manufactures, through its Docmatis unit, integrated kitchen furniture for a few competing distributors located downstream. Following the transaction, these distributors may no longer be able to source from the Fournier group if the latter decides to restrict access to its production unit.</w:t>
      </w:r>
    </w:p>
    <w:p>
      <w:r>
        <w:t>63. However, given the limited market share of the Fournier group in the French market for kitchen furniture manufacturing (approximately [5-10]%), the marginal nature of this activity in the Fournier group's turnover [0-5]%, and finally the existing sourcing alternatives for the affected distributors (notably SALM, Snaidero, Parisot, Nobia, and Nobilia), the implementation of a lock-in strategy towards downstream competitors appears unlikely.</w:t>
      </w:r>
    </w:p>
    <w:p>
      <w:r>
        <w:t>64. In light of the above elements, the transaction is not likely to harm competition through vertical effects.</w:t>
      </w:r>
    </w:p>
    <w:p>
      <w:r>
        <w:t>DECIDES</w:t>
      </w:r>
    </w:p>
    <w:p>
      <w:r>
        <w:t>Sole Article: The transaction notified under number 14-172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