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https://www.autoritedelaconcurrence.fr/fr/decision-de-controle-des-concentrations/relative-la-prise-de-controle-exclusif-de-la-societe-noiram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18-DCC-21 of February 9, 2018  </w:t>
        <w:br/>
        <w:t xml:space="preserve">regarding the exclusive control acquisition of the company Noiram by the  </w:t>
        <w:br/>
        <w:t xml:space="preserve">company ITM Entreprises  </w:t>
        <w:br/>
        <w:t xml:space="preserve">The Competition Authority,  </w:t>
        <w:br/>
        <w:t xml:space="preserve">Having regard to the notification file sent to the mergers department on December 26, 2017, and  </w:t>
        <w:br/>
        <w:t xml:space="preserve">declared complete on January 15, 2018, concerning the exclusive control acquisition of the company Noiram  </w:t>
        <w:br/>
        <w:t xml:space="preserve">by the company ITM Entreprises, materialized by a purchase offer dated  </w:t>
        <w:br/>
        <w:t xml:space="preserve">December 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Entreprises of  </w:t>
        <w:br/>
        <w:t xml:space="preserve">the company Noiram, which operates a retail outlet predominantly selling food of the hypermarket type, under the brand Intermarché, in the city of Soyons (07).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competence of the European Union. On the other hand, the control thresholds related to retail  </w:t>
        <w:br/>
        <w:t xml:space="preserve">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17-287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