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https://www.autoritedelaconcurrence.fr/fr/decision-de-controle-des-concentrations/relative-la-prise-de-controle-exclusif-de-la-societe-nudant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23-DCC-164 of August 11, 2023</w:t>
        <w:br/>
        <w:t>regarding the exclusive control acquisition of the company Nudant Automobiles by the Amplitude group</w:t>
        <w:br/>
        <w:t>The Competition Authority,</w:t>
        <w:br/>
        <w:t>Having regard to the complete notification file sent to the mergers department on July 25, 2023,</w:t>
        <w:br/>
        <w:t>concerning the exclusive control acquisition by the Amplitude group of the company Nudant Automobiles,</w:t>
        <w:br/>
        <w:t>formalized by a share transfer agreement dated July 19, 2023;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control acquisition of the company Nudant Automobiles</w:t>
        <w:br/>
        <w:t>by the Amplitude group, active in the automotive distribution sector. It constitutes a</w:t>
        <w:br/>
        <w:t>merger operation within the meaning of Article L. 430-1 of the Commercial Code. Given the</w:t>
        <w:br/>
        <w:t>turnover achieved by the concerned companies, the operation does not fall under the</w:t>
        <w:br/>
        <w:t>jurisdiction of the European Union. On the other hand, the control thresholds related to retail</w:t>
        <w:br/>
        <w:t>mentioned in II of Article L. 430-2 of the Commercial Code are exceeded. This</w:t>
        <w:br/>
        <w:t>operation is therefore subject to the provisions of Articles L. 430-3 and following of the Commercial Code</w:t>
        <w:br/>
        <w:t>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23-210 is authorized.</w:t>
        <w:br/>
        <w:t>The Vice-President,</w:t>
        <w:br/>
        <w:t>Fabienne Siredey-Garnier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