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https://www.autoritedelaconcurrence.fr/fr/decision-de-controle-des-concentrations/relative-la-prise-de-controle-exclusif-de-la-societe-nutrea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23-DCC-227 of November 28, 2023</w:t>
        <w:br/>
        <w:t>regarding the exclusive control acquisition of the company Nutréa by</w:t>
        <w:br/>
        <w:t>the Eureden group</w:t>
        <w:br/>
        <w:t>The Competition Authority,</w:t>
        <w:br/>
        <w:t>Having regard to the complete notification file sent to the mergers department on November 8, 2023,</w:t>
        <w:br/>
        <w:t>concerning the exclusive control acquisition by the Eureden group of the company N.N.A., formalized by</w:t>
        <w:br/>
        <w:t>a transfer protocol dated October 31, 2023;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exclusive control acquisition by the cooperative group Eureden</w:t>
        <w:br/>
        <w:t>of the company N.N.A., which is primarily active in the sectors of animal nutrition, collection of cereals, oilseeds and protein crops, and the production and marketing of eggs and egg-derived products. It constitutes a concentration operation within the meaning of Article L. 430-1 of the Commercial Code. Given the turnover achieved by the concerned companies, the operation does not fall under the jurisdiction of the European Union. However, the control thresholds mentioned in I of Article L. 430-2 of the Commercial Code are exceeded. The present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23-184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