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https://www.autoritedelaconcurrence.fr/fr/decision-de-controle-des-concentrations/relative-la-prise-de-controle-exclusif-de-la-societe-oasys</w:t>
      </w:r>
    </w:p>
    <w:p>
      <w:r>
        <w:t>Pages translated : 2</w:t>
      </w:r>
    </w:p>
    <w:p/>
    <w:p>
      <w:r>
        <w:rPr>
          <w:b/>
        </w:rPr>
        <w:t>[Pages 1–2]</w:t>
      </w:r>
    </w:p>
    <w:p>
      <w:r>
        <w:t xml:space="preserve">FRENCH REPUBLIC  </w:t>
        <w:br/>
        <w:t xml:space="preserve">Decision No. 24-DCC-251 of November 25, 2024  </w:t>
        <w:br/>
        <w:t xml:space="preserve">regarding the exclusive control acquisition of the company Oasys &amp; Compagnie SAS by the company Siaci Saint Honoré SAS  </w:t>
        <w:br/>
        <w:t xml:space="preserve">The Competition Authority,  </w:t>
        <w:br/>
        <w:t xml:space="preserve">Having regard to the complete notification file submitted to the mergers department on November 6, 2024, concerning the exclusive control acquisition of the company Oasys &amp; Compagnie SAS by the company Siaci Saint Honoré SAS formalized by a firm offer letter signed on October 28, 2024;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company Siaci Saint Honoré SAS of the entirety of the share capital and voting rights of the company Oasys &amp; Compagnie SAS and, in this respect, of the Oasys group, which is active in the field of human resources consulting. The operation constitutes a concentration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24-284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