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https://www.autoritedelaconcurrence.fr/fr/decision-de-controle-des-concentrations/relative-la-prise-de-controle-exclusif-de-la-societe-ocf</w:t>
      </w:r>
    </w:p>
    <w:p>
      <w:r>
        <w:t>Pages translated : 2</w:t>
      </w:r>
    </w:p>
    <w:p/>
    <w:p>
      <w:r>
        <w:rPr>
          <w:b/>
        </w:rPr>
        <w:t>[Pages 1–2]</w:t>
      </w:r>
    </w:p>
    <w:p>
      <w:r>
        <w:t xml:space="preserve">FRENCH REPUBLIC  </w:t>
        <w:br/>
        <w:t xml:space="preserve">Decision No. 16-DCC-213 of December 14, 2016  </w:t>
        <w:br/>
        <w:t xml:space="preserve">regarding the exclusive control acquisition of the company OCF Investissements by the company Saphir  </w:t>
        <w:br/>
        <w:t xml:space="preserve">The Competition Authority,  </w:t>
        <w:br/>
        <w:t xml:space="preserve">Having regard to the complete notification file sent to the mergers department on November 23, 2016, concerning the exclusive control acquisition of the company OCF Investissements by the company Saphir, formalized by a letter of intent dated September 13, 2016;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Saphir, active in automobile distribution, of exclusive control of OCF Investissements, a holding company at the head of a group of companies operating four automobile dealerships in the departments of Essonne (91) and Val-de-Marne (94). This operation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16-242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