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https://www.autoritedelaconcurrence.fr/fr/decision-de-controle-des-concentrations/relative-la-prise-de-controle-exclusif-de-la-societe-one</w:t>
      </w:r>
    </w:p>
    <w:p>
      <w:r>
        <w:t>Pages translated : 2</w:t>
      </w:r>
    </w:p>
    <w:p/>
    <w:p>
      <w:r>
        <w:rPr>
          <w:b/>
        </w:rPr>
        <w:t>[Pages 1–2]</w:t>
      </w:r>
    </w:p>
    <w:p>
      <w:r>
        <w:t xml:space="preserve">FRENCH REPUBLIC  </w:t>
        <w:br/>
        <w:t xml:space="preserve">Decision No. 18-DCC-187 of October 31, 2018  </w:t>
        <w:br/>
        <w:t xml:space="preserve">regarding the exclusive control acquisition of the company The One Life Holding SARL by the social protection insurance group company APICIL  </w:t>
        <w:br/>
        <w:t xml:space="preserve">The Competition Authority,  </w:t>
        <w:br/>
        <w:t xml:space="preserve">Having regard to the complete notification file submitted to the mergers department on October 4, 2018, concerning the exclusive control acquisition of the company The One Life Holding by the social protection insurance group company Apicil, formalized by the transfer protocol dated July 31, 2018;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The One Life Holding by the social protection insurance group company Apicil.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personal insurance and asset management, which are consistently defined by the decision-making practice of the Competition Authority.  </w:t>
        <w:br/>
        <w:t xml:space="preserve">3. Regardless of the segmentations retained, the combined market shares of the parties are below 25% when their activities overlap in the same market and below 30% when their activities are located in related markets or have a vertical link between them.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18-214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