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https://www.autoritedelaconcurrence.fr/fr/decision-de-controle-des-concentrations/relative-la-prise-de-controle-exclusif-de-la-societe-opale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11-DCC-148 of October 5, 2011  </w:t>
        <w:br/>
        <w:t xml:space="preserve">regarding the exclusive control acquisition of the company Opale by the company  </w:t>
        <w:br/>
        <w:t xml:space="preserve">ITM Alimentaire Sud Ouest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September 13, 2011, concerning the acquisition of the company Opale by the company ITM Alimentaire  </w:t>
        <w:br/>
        <w:t xml:space="preserve">Sud Ouest.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Opale, operating a  </w:t>
        <w:br/>
        <w:t xml:space="preserve">commercial establishment predominantly in food distribution, under the Intermarché brand,  </w:t>
        <w:br/>
        <w:t xml:space="preserve">with an area of 2,575 m² and located in the city of Saint Lys (31) by the company ITM  </w:t>
        <w:br/>
        <w:t xml:space="preserve">Alimentaire Sud Ouest, a subsidiary of the company ITM Entreprises. It constitutes a concentration operation within the meaning of Article L. 430-1 of the Commercial Code. Given the turnover achieved by the companies concerned, the operation does not have a community dimension. On the other hand, the retail control thresholds mentioned in point II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notified operation under number 11-0163 is authorized.  </w:t>
        <w:br/>
        <w:t xml:space="preserve">The President,  </w:t>
        <w:br/>
        <w:t xml:space="preserve">Bruno Lasserre  </w:t>
        <w:br/>
        <w:t>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