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https://www.autoritedelaconcurrence.fr/fr/decision-de-controle-des-concentrations/relative-la-prise-de-controle-exclusif-de-la-societe-open</w:t>
      </w:r>
    </w:p>
    <w:p>
      <w:r>
        <w:t>Pages translated : 2</w:t>
      </w:r>
    </w:p>
    <w:p/>
    <w:p>
      <w:r>
        <w:rPr>
          <w:b/>
        </w:rPr>
        <w:t>[Pages 1–2]</w:t>
      </w:r>
    </w:p>
    <w:p>
      <w:r>
        <w:t xml:space="preserve">FRENCH REPUBLIC  </w:t>
        <w:br/>
        <w:t xml:space="preserve">Decision No. 25-DCC-18 of January 21, 2025  </w:t>
        <w:br/>
        <w:t xml:space="preserve">regarding the exclusive control acquisition of the company Open Beauty Innovation by the company Raise Investissement  </w:t>
        <w:br/>
        <w:t xml:space="preserve">The Competition Authority,  </w:t>
        <w:br/>
        <w:t xml:space="preserve">Having regard to the complete notification file sent to the mergers department on January 3, 2025, concerning the exclusive control acquisition of the company Open Beauty Innovation by the company Raise Investissement, formalized by the minutes of the investment committee of Raise Investissement dated December 17, 2024, authorizing the operation;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holding by the company Raise Investissement, following a share buyback and within the framework of an investment protocol, of [40-50]% of the capital and [40-50]% of the voting rights of the company Open Beauty Innovation, which grants it, considering the provisions of the existing shareholders' agreement, exclusive control over the latter. The company Open Beauty Innovation is the holding company of the Blissim group, which is active in the retail distribution of cosmetics. The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