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https://www.autoritedelaconcurrence.fr/fr/decision-de-controle-des-concentrations/relative-la-prise-de-controle-exclusif-de-la-societe-orange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20-DCC-33 of March 2, 2020  </w:t>
        <w:br/>
        <w:t xml:space="preserve">regarding the exclusive control acquisition of the company Orange Bank by the  </w:t>
        <w:br/>
        <w:t xml:space="preserve">company Orange  </w:t>
        <w:br/>
        <w:t xml:space="preserve">The Competition Authority,  </w:t>
        <w:br/>
        <w:t xml:space="preserve">Having regard to the complete notification file sent to the mergers department on February 13, 2020,  </w:t>
        <w:br/>
        <w:t xml:space="preserve">concerning the exclusive control acquisition by the company Orange of the company Orange Bank formalized  </w:t>
        <w:br/>
        <w:t xml:space="preserve">by an amendment to the shareholders' agreement governing the governance of Compagnie Financière  </w:t>
        <w:br/>
        <w:t xml:space="preserve">Orange Bank and Orange Bank dated December 18,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Orange  </w:t>
        <w:br/>
        <w:t xml:space="preserve">Participations, a 100% subsidiary of the Orange group, of the company Orange Bank, which provides  </w:t>
        <w:br/>
        <w:t xml:space="preserve">banking services.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retail trade control thresholds mentioned in point 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20-005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