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https://www.autoritedelaconcurrence.fr/fr/decision-de-controle-des-concentrations/relative-la-prise-de-controle-exclusif-de-la-societe-orapi</w:t>
      </w:r>
    </w:p>
    <w:p>
      <w:r>
        <w:t>Pages translated : 2</w:t>
      </w:r>
    </w:p>
    <w:p/>
    <w:p>
      <w:r>
        <w:rPr>
          <w:b/>
        </w:rPr>
        <w:t>[Pages 1–2]</w:t>
      </w:r>
    </w:p>
    <w:p>
      <w:r>
        <w:t xml:space="preserve">FRENCH REPUBLIC  </w:t>
        <w:br/>
        <w:t xml:space="preserve">Decision No. 23-DCC-186 of August 31, 2023  </w:t>
        <w:br/>
        <w:t xml:space="preserve">regarding the exclusive control acquisition of the company Orapi by the Paredes group  </w:t>
        <w:br/>
        <w:t xml:space="preserve">The Competition Authority,  </w:t>
        <w:br/>
        <w:t xml:space="preserve">Having regard to the complete notification file submitted to the mergers department on August 16, 2023, concerning the acquisition of control by the Paredes group over the company Orapi, formalized by a confirmatory offer dated June 21,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Paredes group of the company Orapi, active in the manufacturing and distribution of hygiene and maintenance products for professional use. It constitutes a concentration operation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23-183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