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https://www.autoritedelaconcurrence.fr/fr/decision-de-controle-des-concentrations/relative-la-prise-de-controle-exclusif-de-la-societe-ovalie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21-DCC-21-DCC-93 of June 14, 2021  </w:t>
        <w:br/>
        <w:t xml:space="preserve">regarding the exclusive control acquisition of the company Ovalie  </w:t>
        <w:br/>
        <w:t>Développement 2 by the company Naxicap Partners</w:t>
      </w:r>
    </w:p>
    <w:p>
      <w:r>
        <w:t>The Competition Authority,</w:t>
      </w:r>
    </w:p>
    <w:p>
      <w:r>
        <w:t xml:space="preserve">Having regard to the notification file submitted in full to the mergers department on May 14, 2021,  </w:t>
        <w:br/>
        <w:t xml:space="preserve">concerning the exclusive control acquisition of the company Ovalie Développement 2 by the company  </w:t>
        <w:br/>
        <w:t xml:space="preserve">Naxicap Partners, formalized by a transfer contract dated April 23,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>Having regard to the additional elements provided by the notifying party during the investigation;</w:t>
      </w:r>
    </w:p>
    <w:p>
      <w:r>
        <w:t xml:space="preserve">Adopts the following decision:  </w:t>
        <w:br/>
        <w:t xml:space="preserve">1. The notified operation consists of the exclusive control acquisition by the company Naxicap Partners of  </w:t>
        <w:br/>
        <w:t xml:space="preserve">the company Ovalie Développement 2, which is active, through its subsidiaries, in the orthopedic  </w:t>
        <w:br/>
        <w:t xml:space="preserve">equipment sector.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21-100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