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https://www.autoritedelaconcurrence.fr/fr/decision-de-controle-des-concentrations/relative-la-prise-de-controle-exclusif-de-la-societe-par-la</w:t>
      </w:r>
    </w:p>
    <w:p>
      <w:r>
        <w:t>Pages translated : 2</w:t>
      </w:r>
    </w:p>
    <w:p/>
    <w:p>
      <w:r>
        <w:rPr>
          <w:b/>
        </w:rPr>
        <w:t>[Pages 1–2]</w:t>
      </w:r>
    </w:p>
    <w:p>
      <w:r>
        <w:t xml:space="preserve">FRENCH REPUBLIC  </w:t>
        <w:br/>
        <w:t xml:space="preserve">Decision No. 19-DCC-115 of June 14, 2019  </w:t>
        <w:br/>
        <w:t xml:space="preserve">regarding the exclusive control acquisition of the company This by the company  </w:t>
        <w:br/>
        <w:t xml:space="preserve">Gemy Distribution Automobiles  </w:t>
        <w:br/>
        <w:t xml:space="preserve">The Competition Authority,  </w:t>
        <w:br/>
        <w:t xml:space="preserve">Having regard to the notification file submitted in full to the mergers department on May 17, 2019,  </w:t>
        <w:br/>
        <w:t xml:space="preserve">concerning the exclusive control acquisition of the group This by the company Gemy Distribution  </w:t>
        <w:br/>
        <w:t xml:space="preserve">Automobiles, formalized by a letter of intent dated December 10, 2018, and by a share transfer agreement dated March 15, 2019;  </w:t>
        <w:br/>
        <w:t xml:space="preserve">Having regard to Book IV of the Commercial Code relating to the freedom of prices and competition, and  </w:t>
        <w:br/>
        <w:t xml:space="preserve">in particular its Articles L. 430-1 to L. 430-7;  </w:t>
        <w:br/>
        <w:t xml:space="preserve">Having regard to the elements submitted during the investigation by the notifying party;  </w:t>
        <w:br/>
        <w:t xml:space="preserve">Adopts the following decision:  </w:t>
        <w:br/>
        <w:t xml:space="preserve">1. The notified operation consists of the exclusive control acquisition by the company Gemy Distribution  </w:t>
        <w:br/>
        <w:t xml:space="preserve">Automobiles of the company This, which operates seven automobile distribution outlets of Peugeot and Citroën brands located in Dinan (22), Matignon (22), Plouër-sur-Rance (22),  </w:t>
        <w:br/>
        <w:t xml:space="preserve">Angers (49), Segré (49), Laval (53), and Le Mans (72).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19-078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