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https://www.autoritedelaconcurrence.fr/fr/decision-de-controle-des-concentrations/relative-la-prise-de-controle-exclusif-de-la-societe-parfib</w:t>
      </w:r>
    </w:p>
    <w:p>
      <w:r>
        <w:t>Pages translated : 5</w:t>
      </w:r>
    </w:p>
    <w:p/>
    <w:p>
      <w:r>
        <w:rPr>
          <w:b/>
        </w:rPr>
        <w:t>[Pages 1–3]</w:t>
      </w:r>
    </w:p>
    <w:p>
      <w:r>
        <w:t xml:space="preserve">FRENCH REPUBLIC  </w:t>
        <w:br/>
        <w:t xml:space="preserve">Decision No. 11-DCC-21 of February 14, 2011  </w:t>
        <w:br/>
        <w:t xml:space="preserve">regarding the exclusive control of the company Parfib by the company Plastiques du Val de Loire  </w:t>
        <w:br/>
        <w:t xml:space="preserve">The Competition Authority,  </w:t>
        <w:br/>
        <w:t xml:space="preserve">Having regard to the notification file submitted in full to the merger service on January 14, 2011, regarding the acquisition by the company Plastiques du Val de Loire (hereinafter "PVL") of the company Parfib, formalized by a memorandum of understanding dated January 13, 2011;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company PVL is a public limited company controlled by Mr. Patrick Findeling. PVL is the head of a group of companies active in the sector of manufacturing plastic spare parts, primarily by injection, intended for the production of various industrial products (automotive, multimedia, household appliances, electrical products, tools). PVL and its subsidiaries form the Plastivaloire group.  </w:t>
        <w:br/>
        <w:t xml:space="preserve">2. The company Parfib is the holding company of the Bourbon group, whose capital is held by private investors. It holds 99.87% of the capital of Bourbon SA, the operational company of the group controlling the companies Aquifrance, Creadec, Bourbon Automobiles, Fabi Automobile, and Bourbon Fabi UK. The Bourbon group also includes the companies Bourbon Fabi SK, Inteplastico, and Unidecor, whose capital is jointly held by Bourbon Automobile and Fabi Automobile. The Bourbon group operates in the sector of designing and producing plastic spare parts intended for the automotive industry.  </w:t>
        <w:br/>
        <w:t xml:space="preserve">3. By a memorandum of understanding dated January 13, 2011, concluded between the company PVL, the shareholders of the company Parfib, and the Fund for the Modernization of Automotive Equipment Suppliers (hereinafter "FMEA"), the company PVL committed to acquiring 64.9% of the capital of the company Parfib. This participation will grant the company PVL exclusive control over the company Parfib insofar as neither of the other two shareholders of this company will have veto rights concerning decisions related to the commercial strategy of the Bourbon group.  </w:t>
        <w:br/>
        <w:t xml:space="preserve">4. As it results in the exclusive control of the Bourbon group by the Plastivaloire group, the notified operation constitutes a concentration within the meaning of Article L. 430-1 of the Commercial Code.  </w:t>
        <w:br/>
        <w:t xml:space="preserve">5. The companies concerned together achieve a total worldwide turnover of more than 150 million euros (Plastivaloire group: 220.3 million euros for the fiscal year ending September 30, 2010; Bourbon group: 207.9 million euros for the same fiscal year). At least two of these companies achieve in France a turnover exceeding 50 million euros (Plastivaloire group: 114.8 million euros for the fiscal year ending September 30, 2010; Bourbon group: 104.8 million euros for the same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A. DELIMITATION OF PRODUCT MARKETS  </w:t>
        <w:br/>
        <w:t xml:space="preserve">6. The parties to the operation are simultaneously active in the sector of manufacturing the following spare parts intended for the automotive industry: interior door handles, air vents, decorative trim and various dashboard parts, dashboard decorative strips and door panels, central facades, central console parts, ashtrays, pull handles, and armrests.  </w:t>
        <w:br/>
        <w:t xml:space="preserve">7. In terms of automotive equipment, decision-making practice, both national1 and community2, considers that the manufacture of each part can constitute a distinct product market given the lack of substitutability between the different types of parts from both the demand and supply sides.  </w:t>
        <w:br/>
        <w:t xml:space="preserve">8. More specifically, the European Commission3 and the Competition Authority4 have notably recognized the existence of specific markets concerning the manufacture of each of the following spare parts: door panels, dashboards, decorative parts for dashboards and door panels, mudguards, and side protections.  </w:t>
        <w:br/>
        <w:t xml:space="preserve">1 See notably the decisions of the Authority No. 09-DCC-08 of May 25, 2009, No. 10-DCC-30 of April 7, 2010, and No. 10-DCC-154 of November 19, 2010.  </w:t>
        <w:br/>
        <w:t xml:space="preserve">2 See notably the decision of the European Commission No. COMP/M.2241 Peugeot/Sommer Allibert of December 20, 2000.  </w:t>
        <w:br/>
        <w:t xml:space="preserve">3 See the decisions of the European Commission No. IV/M.1518 of April 29, 1999 Lear/United Technologies, IV/M.1518 Lear/United Technologies of April 29, 1999, and COMP/M.2241 Peugeot/Sommer Allibert of December 20, 2000.  </w:t>
        <w:br/>
        <w:t>4 See notably the decisions of the Competition Authority No. 10-DCC-30 of April 7, 2010.</w:t>
      </w:r>
    </w:p>
    <w:p>
      <w:r>
        <w:t xml:space="preserve">9. Furthermore, national and community decision-making practice5 has distinguished, on the one hand, a market for original equipment, which includes both sales made to automobile manufacturers for new equipment (OEM – Original Equipment Manufacturer) and for supplying their dealer networks with spare parts (OES – Original Equipment Services) and, on the other hand, a market for the resale of spare parts by independent resellers (IAM – Independent Aftermarket). In the present case, the parties to the operation exclusively produce and market parts in the original equipment market (OEM/OES).  </w:t>
        <w:br/>
        <w:t xml:space="preserve">10. National and community competition authorities6 have also considered segmenting product markets based on the type of vehicle in which the automotive part is ultimately integrated, thus distinguishing the markets for parts intended for passenger and light commercial vehicles, on the one hand, and the markets for parts intended for heavy goods vehicles, on the other hand. The parties to the operation are only active in the markets for parts intended for passenger and light commercial vehicles.  </w:t>
        <w:br/>
        <w:t xml:space="preserve">11. Finally, the notifying party believes it is relevant to distinguish between types of operators, between, on the one hand, a market for the design/production of plastic spare parts, and, on the other hand, a market for the production alone of plastic spare parts. The first market would be characterized by the fact that the production of each specific part requires the design and development of a mold and the marketing of parts to automobile manufacturers. The second market would be limited to the mere production of parts using molds provided by a designer/producer, that is to say, the production of specific parts by subcontractors. The Plastivaloire group is present in both activities while the Bourbon group is primarily active in the first market.  </w:t>
        <w:br/>
        <w:t xml:space="preserve">12. In any case, the question of the precise delimitation of the markets can be left open insofar as, regardless of the assumptions made, the conclusions of the competitive analysis will remain unchanged.  </w:t>
        <w:br/>
        <w:t xml:space="preserve">B. GEOGRAPHICAL DELIMITATION OF MARKETS  </w:t>
        <w:br/>
        <w:t xml:space="preserve">13. In terms of automotive equipment parts, decision-making practice7 consistently considers that the markets are at least European in scope as manufacturers of automotive parts operate throughout Europe and there are no technical standards or other regulatory barriers to trade within the European Economic Area, nor any customs barriers between Member States.  </w:t>
        <w:br/>
        <w:t xml:space="preserve">14. In the present case, there is no need to challenge this geographical delimitation of the markets.  </w:t>
        <w:br/>
        <w:t xml:space="preserve">5 See letter from the Minister C2007-135 cited above; decisions of the Commission M360-Arvin/Sogefi of August 23, 1993, M1245-Valéo/ITT Industries of July 30, 1998, and M2939-JCI/Bosch/VB Autobatterien JV of October 18, 2002; decision of the Competition Authority No. 10-DCC-30 of April 7, 2010.  </w:t>
        <w:br/>
        <w:t xml:space="preserve">6 See notably the decisions of the Commission, COMP/M.3789 of June 29, 2005 Johnson Controls/Robert Bosch/Delphi Sli, and COMP/M.3972, Trw Automotive/Dalphi Metal Españ of October 12, 2005; decision of the Competition Authority No. 10-DCC-30 cited above.  </w:t>
        <w:br/>
        <w:t>7 See notably the decision of the Competition Authority No. 09-DCC-08 cited above; decision of the European Commission COMP/M.2241 cited above.</w:t>
      </w:r>
    </w:p>
    <w:p>
      <w:r>
        <w:rPr>
          <w:b/>
        </w:rPr>
        <w:t>[Pages 4–5]</w:t>
      </w:r>
    </w:p>
    <w:p>
      <w:r>
        <w:t xml:space="preserve">III. Competitive Analysis  </w:t>
        <w:br/>
        <w:t xml:space="preserve">15. The market data presented below do not distinguish between the design/production of parts and production alone, as such a distinction does not significantly alter the analysis.  </w:t>
        <w:br/>
        <w:t xml:space="preserve">16. Regarding the European market for the manufacturing of interior door handles, original equipment (OEM/OES), intended for passenger and light commercial vehicles, the Plastivaloire and Bourbon groups estimate holding market shares, in value, of [0-5]% and [10-20]%, resulting in a combined market share of [10-20]%. In this market, the parties involved are notably in competition with Huf ([20-30]%), Valeo ([10-20]%), Witte Automotive ([10-20]%), and a few other players representing less than [10-20]% of the market.  </w:t>
        <w:br/>
        <w:t xml:space="preserve">17. Regarding the European market for the manufacturing of vents, original equipment (OEM/OES), intended for passenger and light commercial vehicles, the Plastivaloire and Bourbon groups hold market shares, in value, of [5-10]% and [5-10]%, resulting in a combined market share of [10-20]%. In this market, the parties are notably in competition with Dr Schneider, KP Ohlo, Tecnik, and Reum, which represent [20-30]%, [10-20]%, and [10-20]% of the market, respectively.  </w:t>
        <w:br/>
        <w:t xml:space="preserve">18. Regarding the European market for the manufacturing of decorative trim and various dashboard parts, original equipment (OEM/OES), intended for passenger and light commercial vehicles, the Plastivaloire and Bourbon groups hold market shares, in value, of less than [0-5]% and [10-20]%, resulting in a combined market share of [10-20]%. In this market, the parties are notably in competition with Faurecia, Dr Schneider, KP Ohlo, Tecnik, and Reum, which represent [20-30]%, [10-20]%, and [10-20]% of the market, respectively.  </w:t>
        <w:br/>
        <w:t xml:space="preserve">19. Regarding the European market for the manufacturing of dashboard decorative strips, original equipment (OEM/OES), intended for passenger and light commercial vehicles, the Plastivaloire and Bourbon groups hold market shares, in value, of less than [0-5]% and [5-10]%, resulting in a combined market share of less than [5-10]%.  </w:t>
        <w:br/>
        <w:t xml:space="preserve">20. Regarding the European market for the manufacturing of central facades, original equipment (OEM/OES), intended for passenger and light commercial vehicles, the Plastivaloire and Bourbon groups hold market shares, in value, of less than [0-5]% and [5-10]%, resulting in a combined market share of [5-10]%.  </w:t>
        <w:br/>
        <w:t xml:space="preserve">21. Regarding the European market for the manufacturing of center console parts, original equipment (OEM/OES), intended for passenger and light commercial vehicles, the Plastivaloire and Bourbon groups hold market shares, in value, of less than [0-5]% and [0-5]%, resulting in a combined market share of [0-5]%.  </w:t>
        <w:br/>
        <w:t xml:space="preserve">22. Regarding the European market for the manufacturing of ashtrays, original equipment (OEM/OES), intended for passenger and light commercial vehicles, the Plastivaloire and Bourbon groups hold market shares, in value, of less than [5-10]% and [5-10]%, resulting in a combined market share of [10-20]%. In this market, the new entity will be competed against by Dr Schneider, which represents [10-20]% of the market, as well as several other automotive equipment producers holding a market share of less than [10-20]%.  </w:t>
        <w:br/>
        <w:t xml:space="preserve">23. Regarding the European market for the manufacturing of pull handles, original equipment (OEM/OES), intended for passenger and light commercial vehicles, the Plastivaloire and Bourbon groups hold market shares, in value, of [0-5]% and [0-5]%, resulting in a combined market share of [0-5]%.  </w:t>
        <w:br/>
        <w:t xml:space="preserve">24. Regarding the European market for the manufacturing of armrests, original equipment (OEM/OES), intended for passenger and light commercial vehicles, the Plastivaloire and Bourbon groups hold market shares, in value, of less than [5-10]% and [0-5]%, resulting in a combined market share of [5-10]%.  </w:t>
        <w:br/>
        <w:t xml:space="preserve">25. Furthermore, as noted by both community and national competition authorities8, the markets for automotive equipment are characterized by a very strong purchasing power of manufacturers who pursue a strategy of diversifying their suppliers to avoid any dependency, notably by resorting to tenders.  </w:t>
        <w:br/>
        <w:t xml:space="preserve">26. Therefore, considering the low combined market shares that the new entity will hold in the relevant markets after the operation is completed, the existence of several competitors holding significant market shares capable of competing with the position of the parties to the operation, and the purchasing power of customers, the operation is not likely to harm competition.  </w:t>
        <w:br/>
        <w:t xml:space="preserve">DECIDES  </w:t>
        <w:br/>
        <w:t xml:space="preserve">Sole Article: The operation notified under number 11-0005 is authorized.  </w:t>
        <w:br/>
        <w:t xml:space="preserve">The President,  </w:t>
        <w:br/>
        <w:t xml:space="preserve">Bruno Lasserre  </w:t>
        <w:br/>
        <w:t xml:space="preserve">Competition Authority  </w:t>
        <w:br/>
        <w:t>8 See notably the letter from the Minister dated April 4, 2008, to the boards of the company Zen Spa, concerning a concentration in the sector of manufacturing parts for automobiles; the decision of the Competition Authority No. 10-DCC-30 cited above; the decision COMP/M.4043 Plastal/Dynamit Nobel Kunstoff, dated December 22,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