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https://www.autoritedelaconcurrence.fr/fr/decision-de-controle-des-concentrations/relative-la-prise-de-controle-exclusif-de-la-societe-parot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21-DCC-264 of December 29, 2021  </w:t>
        <w:br/>
        <w:t xml:space="preserve">regarding the exclusive control acquisition of Parot Automotive  </w:t>
        <w:br/>
        <w:t>by the Jallu-Berthier group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December 14, 2021, concerning the exclusive control acquisition of Parot Automotive by the  </w:t>
        <w:br/>
        <w:t xml:space="preserve">Jallu-Berthier group, formalized by a transfer protocol signed on November 12, 2021;  </w:t>
        <w:br/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Cape  </w:t>
        <w:br/>
        <w:t xml:space="preserve">Finances Automobiles, the holding company of the Jallu-Berthier group, of Parot  </w:t>
        <w:br/>
        <w:t xml:space="preserve">Automotive, active in the automobile distribution sector in the municipalities of  </w:t>
        <w:br/>
        <w:t xml:space="preserve">Brétigny-sur-Orge (91), Les Ulis (91), Morangis (91), Morigny-Champigny (91) and Paray-  </w:t>
        <w:br/>
        <w:t xml:space="preserve">Vieille-Poste (91). It constitutes a concentration operation within the meaning of Article L. 430-1  </w:t>
        <w:br/>
        <w:t xml:space="preserve">of the Commercial Code. Given the turnover achieved by the companies involved, the operation  </w:t>
        <w:br/>
        <w:t xml:space="preserve">does not fall under the jurisdiction of the European Union. On the other hand, the retail control  </w:t>
        <w:br/>
        <w:t xml:space="preserve">thresholds mentioned in II of Article L. 430-2 of the Commercial Code are exceeded. This  </w:t>
        <w:br/>
        <w:t xml:space="preserve">operation is therefore subject to the provisions of Articles L. 430-3 and following of the  </w:t>
        <w:br/>
        <w:t>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21-286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