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https://www.autoritedelaconcurrence.fr/fr/decision-de-controle-des-concentrations/relative-la-prise-de-controle-exclusif-de-la-societe-partir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25-DCC-294 of November 21, 2025  </w:t>
        <w:br/>
        <w:t xml:space="preserve">regarding the exclusive control acquisition of  </w:t>
        <w:br/>
        <w:t>the company Partir by the company RB Capital</w:t>
      </w:r>
    </w:p>
    <w:p>
      <w:r>
        <w:t>The Competition Authority,</w:t>
      </w:r>
    </w:p>
    <w:p>
      <w:r>
        <w:t xml:space="preserve">Having regard to the complete notification file sent to the mergers department on October 28, 2025,  </w:t>
        <w:br/>
        <w:t xml:space="preserve">concerning the exclusive control acquisition of the company Partir by the company RB Capital, via the  </w:t>
        <w:br/>
        <w:t xml:space="preserve">companies RB Capital France 2 and GPV Partners, formalized by a draft transfer agreement  </w:t>
        <w:br/>
        <w:t>dated October 24, 2025;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>Having regard to the other documents in the file;</w:t>
      </w:r>
    </w:p>
    <w:p>
      <w:r>
        <w:t>Adopts the following decision:</w:t>
      </w:r>
    </w:p>
    <w:p>
      <w:r>
        <w:t xml:space="preserve">1. The notified operation consists of the exclusive control acquisition, via the companies RB Capital  </w:t>
        <w:br/>
        <w:t xml:space="preserve">France 2 and GPV Partners, a company specially established for the needs of the operation,  </w:t>
        <w:br/>
        <w:t xml:space="preserve">of the company Partir by the company RB Capital. The main sectors concerned by the notified  </w:t>
        <w:br/>
        <w:t xml:space="preserve">operation are the supply of transport capacities and hotel nights, the design-sale of package  </w:t>
        <w:br/>
        <w:t xml:space="preserve">tours, as well as the services of package travel agencies. Given the turnover achieved by the  </w:t>
        <w:br/>
        <w:t xml:space="preserve">concerned companies, the operation does not fall under the jurisdiction of the European Union.  </w:t>
        <w:br/>
        <w:t xml:space="preserve">On the other hand, the control thresholds mentioned in I of Article L. 430-2 of the Commercial  </w:t>
        <w:br/>
        <w:t xml:space="preserve">Code are exceeded. This operation is therefore subject to the provisions of Articles L. 430-3 and  </w:t>
        <w:br/>
        <w:t>following of the Commercial Code relating to economic concentration.</w:t>
      </w:r>
    </w:p>
    <w:p>
      <w:r>
        <w:t xml:space="preserve">2. In view of the elements of the file, the operation is not likely to harm competition in the  </w:t>
        <w:br/>
        <w:t>concerned markets.</w:t>
      </w:r>
    </w:p>
    <w:p>
      <w:r>
        <w:t xml:space="preserve">DECIDES  </w:t>
        <w:br/>
        <w:t xml:space="preserve">Single Article: The operation notified under number 25-305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