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https://www.autoritedelaconcurrence.fr/fr/decision-de-controle-des-concentrations/relative-la-prise-de-controle-exclusif-de-la-societe-pasnat</w:t>
      </w:r>
    </w:p>
    <w:p>
      <w:r>
        <w:t>Pages translated : 5</w:t>
      </w:r>
    </w:p>
    <w:p/>
    <w:p>
      <w:r>
        <w:rPr>
          <w:b/>
        </w:rPr>
        <w:t>[Pages 1–3]</w:t>
      </w:r>
    </w:p>
    <w:p>
      <w:r>
        <w:t xml:space="preserve">FRENCH REPUBLIC  </w:t>
        <w:br/>
        <w:t xml:space="preserve">Decision No. 10-DCC-109 of September 14, 2010  </w:t>
        <w:br/>
        <w:t>regarding the exclusive control of the company Pasnat SA by the company ITM Entreprises</w:t>
      </w:r>
    </w:p>
    <w:p>
      <w:r>
        <w:t xml:space="preserve">The Competition Authority,  </w:t>
        <w:br/>
        <w:t xml:space="preserve">Having regard to the notification file submitted in full to the merger service on August 12, 2010, regarding the acquisition of all the shares of the company Pasnat SA by the company ITM Entreprises via the company ITM Alimentaire Est, formalized by a transfer protocol dated July 22, 2010;  </w:t>
        <w:br/>
        <w:t xml:space="preserve">Having regard to Book IV of the Commercial Code relating to price and competition freedom, and in particular its Articles L. 430-1 to L. 430-7;  </w:t>
        <w:br/>
        <w:t>Adopts the following decision:</w:t>
      </w:r>
    </w:p>
    <w:p>
      <w:r>
        <w:t xml:space="preserve">I. The companies concerned and the operation  </w:t>
        <w:br/>
        <w:t xml:space="preserve">1. The company ITM Entreprises, 100% controlled by the Société civile des Mousquetaires, which is itself held by 1,330 individuals known as "associated members," leads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w:t>
        <w:br/>
        <w:t xml:space="preserve">2. The company ITM Alimentaire Est is a French law company held at [&gt;50]% by the company ITM Alimentaires France, which is itself held by the company ITM Entreprises. The company ITM Entreprises has entrusted the company ITM Alimentaire Est with the management and development of the network of franchisees operating under the Intermarché, Ecomarché, and Netto brands in the Eastern region of France.  </w:t>
        <w:br/>
        <w:t xml:space="preserve">3. The company ITM Alimentaire Est and the ITM Enterprises group to which it belongs achieved, during the fiscal year ending December 31, 2009, a worldwide turnover excluding taxes of [20-30] billion euros, of which [15-25] billion in France.  </w:t>
        <w:br/>
        <w:t xml:space="preserve">4. The company Pasnat is a simplified joint-stock company under French law that operates a food-dominant retail outlet under the Intermarché brand in Longwy (54). The shares of the company Pasnat are held at [&gt;50]% by Mr. and Mrs. X and their children. The company Pasnat is linked to the company ITM Entreprises by a brand contract concluded on December 2, 2008, for a duration of 15 years. Furthermore, Mr. and Mrs. X are signatories of the membership charter of the "Groupement des Mousquetaires." The company ITM Entreprises holds a preferred share within the capital of the company Pasnat which, according to the statutes of June 17, 2009, grants it joint control of the company Pasnat. The company Pasnat achieved, during the last fiscal year ending December 31, 2009, a turnover excluding taxes of [&gt;15] million euros.  </w:t>
        <w:br/>
        <w:t xml:space="preserve">5. The company Anthone is a civil real estate company under French law that manages and operates the real estate assets held by the company. It is wholly owned by the X family. It owns the properties partially operated by the company Pasnat. It also rents out two commercial units, one to the company Rapid Service (cobbler) and the other to the company Maena (hairdresser).  </w:t>
        <w:br/>
        <w:t xml:space="preserve">6. The notified operation, formalized by a transfer protocol dated July 22, 2010, consists of the acquisition of all the shares of Pasnat and Anthone by the ITM Enterprises group, via the company ITM Alimentaire Est.  </w:t>
        <w:br/>
        <w:t>7. Insofar as it results in the exclusive control of the company Pasnat and the company Anthone by the ITM Enterprises group, the notified operation is indeed a concentration within the meaning of Article L. 430-1 of the Commercial Code. Given the turnover of the companies concerned,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8. According to the constant practice of national and community competition authorities, two categories of markets can be delineated in the food-dominant distribution sector. These are, on the one hand, "downstream" markets, of a local dimension, which bring together retail businesses and consumers for the sale of consumer goods, and on the other hand, "upstream" markets for the supply of retail businesses with everyday consumer goods, of a national dimension.</w:t>
      </w:r>
    </w:p>
    <w:p>
      <w:r>
        <w:t xml:space="preserve">A. DOWNSTREAM DISTRIBUTION MARKETS  </w:t>
        <w:br/>
        <w:t xml:space="preserve">1. SERVICE MARKETS  </w:t>
        <w:br/>
        <w:t xml:space="preserve">9.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mail-order sales.  </w:t>
        <w:br/>
        <w:t xml:space="preserve">10. Hypermarkets are usually defined as food-dominant stores with a legal sales area equal to or greater than 2,500 m².  </w:t>
        <w:br/>
        <w:t>11. In this case, the store concerned by the operation currently occupies a sales area of 3,069 m², thus falling into the category of hypermarkets.</w:t>
      </w:r>
    </w:p>
    <w:p>
      <w:r>
        <w:t xml:space="preserve">2. GEOGRAPHICAL DELIMITATION  </w:t>
        <w:br/>
        <w:t xml:space="preserve">12. In its recent decisions regarding operations involving hypermarkets or supermarkets, the Competition Authority has recalled that two types of markets are usually distinguished, based on catchment areas:  </w:t>
        <w:br/>
        <w:t xml:space="preserve">- a first market where the demand of consumers from an area meets the supply of hypermarkets that they can access within less than 30 minutes of travel by car and which are, from their point of view, substitutable for each other;  </w:t>
        <w:br/>
        <w:t xml:space="preserve">- a second market where the demand of consumers meets the supply of supermarkets and equivalent forms of trade located within less than 15 minutes of travel by car. These latter forms of trade may include, in addition to supermarkets, hypermarkets located near consumers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14. In a market including all hypermarkets, supermarkets, and discount stores located within a 15-minute radius around Longwy, the activities of the parties do not overlap. The competitive analysis will therefore focus solely on the market including all hypermarkets located within a 30-minute radius around Longwy.</w:t>
      </w:r>
    </w:p>
    <w:p>
      <w:r>
        <w:rPr>
          <w:b/>
        </w:rPr>
        <w:t>[Pages 4–5]</w:t>
      </w:r>
    </w:p>
    <w:p>
      <w:r>
        <w:t xml:space="preserve">B. UPSTREAM SUPPLY MARKETS  </w:t>
        <w:br/>
        <w:t xml:space="preserve">15. Regarding the supply markets, the European Commission has identified the existence of national markets by major product groups, a delineation followed by national authorities.  </w:t>
        <w:br/>
        <w:t xml:space="preserve">16. There is no reason to challenge this delineation in the context of the present operation.  </w:t>
        <w:br/>
        <w:t xml:space="preserve">III. Competitive Analysis  </w:t>
        <w:br/>
        <w:t xml:space="preserve">A. DOWNSTREAM DISTRIBUTION MARKET  </w:t>
        <w:br/>
        <w:t xml:space="preserve">17. In the market comprising hypermarkets located within a 30-minute drive around Longwy, the Intermarché operated by the target represents 7.1% of the market share expressed in sales area (i.e., 3,069 m² out of a total area of 42,978 m²). Also present in the Longwy area are two Intermarché hypermarkets located in Longuyon and Hayange holding 6.1% and 5.9% of the market share, respectively. The hypermarkets operated under the ITM Enterprises brand therefore represent, in the catchment area of 30 minutes around Longwy, a cumulative market share of 19.1%.  </w:t>
        <w:br/>
        <w:t xml:space="preserve">18. These stores face competition from a hypermarket under the Auchan group brand holding 30.3% of the market share, a hypermarket under the Leclerc group brand holding 21.8% of the market share, two hypermarkets under the Système U group brand holding a cumulative market share of 16.4%, a hypermarket under the Carrefour group brand holding 6.6% of the market share, and a hypermarket under the Louis Delhaize group brand holding 5.8% of the market share.  </w:t>
        <w:br/>
        <w:t xml:space="preserve">19. Furthermore, the notifying party indicated that the ITM group obtained on January 23, 2008, authorization to create a new commercial complex including a hypermarket of 3,000 m², that the Leclerc group obtained on November 9, 2009, authorization to create a hypermarket of 6,500 m², that it also obtained on March 13, 2007, authorization to expand its hypermarket from 9,631 m² to 12,700 m², that the Louis Delhaize Group obtained on February 7, 2007, authorization to expand its supermarket from 1,737 m² to 2,665 m², that the Auchan group obtained on March 16, 2010, authorization to expand its hypermarket from 13,000 m² to 14,800 m², and that the Carrefour group obtained on January 23, 2008, authorization to expand its hypermarket from 2,834 m² to 4,000 m². These new openings and expansions of retail outlets will bring the market share, calculated in sales area, of the company Pasnat to 5.1% and of the hypermarkets operated under the ITM Enterprises brand to 18.7%.  </w:t>
        <w:br/>
        <w:t xml:space="preserve">20. In the market comprising hypermarkets, supermarkets, and discount stores within a 15-minute radius around the target, it is the only store under the Intermarché brand.  </w:t>
        <w:br/>
        <w:t xml:space="preserve">21. Consequently, the operation is not likely to harm competition in the markets concerned.  </w:t>
        <w:br/>
        <w:t xml:space="preserve">B. UPSTREAM SUPPLY MARKET  </w:t>
        <w:br/>
        <w:t xml:space="preserve">22. Regarding the upstream supply markets, the operation, which concerns only one store, is not likely to significantly strengthen the purchasing power of the ITM Enterprises group, across all products as well as by major product groups.  </w:t>
        <w:br/>
        <w:t xml:space="preserve">23. Consequently, the operation is not likely to harm competition both in the downstream market and in the upstream market of distribution.  </w:t>
        <w:br/>
        <w:t xml:space="preserve">DECIDES  </w:t>
        <w:br/>
        <w:t xml:space="preserve">Single Article: The operation notified under number 10-0133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