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https://www.autoritedelaconcurrence.fr/fr/decision-de-controle-des-concentrations/relative-la-prise-de-controle-exclusif-de-la-societe-pcas</w:t>
      </w:r>
    </w:p>
    <w:p>
      <w:r>
        <w:t>Pages translated : 5</w:t>
      </w:r>
    </w:p>
    <w:p/>
    <w:p>
      <w:r>
        <w:rPr>
          <w:b/>
        </w:rPr>
        <w:t>[Pages 1–3]</w:t>
      </w:r>
    </w:p>
    <w:p>
      <w:r>
        <w:t xml:space="preserve">FRENCH REPUBLIC  </w:t>
        <w:br/>
        <w:t xml:space="preserve">Decision No. 17-DCC-85 of June 19, 2017  </w:t>
        <w:br/>
        <w:t>regarding the exclusive takeover of the company PCAS by the Novacap group</w:t>
      </w:r>
    </w:p>
    <w:p>
      <w:r>
        <w:t xml:space="preserve">The Competition Authority,  </w:t>
        <w:br/>
        <w:t xml:space="preserve">Having regard to the notification file submitted in full to the merger service on May 15, 2017, regarding the exclusive takeover of the company PCAS by the Novacap group, formalized by an acquisition contract and two share purchase promises dated May 15, 2017;  </w:t>
        <w:br/>
        <w:t xml:space="preserve">Having regard to Book IV of the Commercial Code relating to price freedom and competition, and in particular its Articles L. 430-1 to L. 430-7;  </w:t>
        <w:br/>
        <w:t xml:space="preserve">Having regard to the supplementary elements transmitted by the notifying party during the investigation;  </w:t>
        <w:br/>
        <w:t>Adopts the following decision:</w:t>
      </w:r>
    </w:p>
    <w:p>
      <w:r>
        <w:t xml:space="preserve">I. The concerned companies and the operation  </w:t>
        <w:br/>
        <w:t xml:space="preserve">1. The Novacap group, controlled by the investment fund Eurazeo1, is primarily active in the production and distribution of chemical products, in liquid or solid form, to industrial and commercial clients. Novacap SAS (hereinafter "Novacap") is the company that groups together the various holdings of the Novacap group.  </w:t>
        <w:br/>
        <w:t xml:space="preserve">2. PCAS is a company active, through several subsidiaries, in the sectors of pharmaceutical synthesis and fine specialty chemistry. It is owned by various shareholders who do not have the ability, individually or collectively, to exert a decisive influence over it. PCAS is therefore not a controlled company, within the meaning of competition law.  </w:t>
        <w:br/>
        <w:t xml:space="preserve">3. Under an acquisition contract and two share purchase promises dated May 15, 2017, Novacap is to acquire all of the shares of PCAS. As it results in the exclusive takeover of PCAS by Novacap, the notified operation constitutes a concentration within the meaning of Article L. 430-1 of the Commercial Code.  </w:t>
        <w:br/>
        <w:t xml:space="preserve">4. The companies concerned together achieve a total worldwide turnover excluding taxes of more than 150 million euros (Eurazeo: [...] euros for the fiscal year ending December 31, 2016; PCAS: 191 million euros for the same fiscal year). Each of these companies has achieved a turnover in France exceeding 50 million euros (Eurazeo: [...] euros for the fiscal year ending December 31, 2016; PCAS: [...] euros for the same fiscal year). Given these turnovers,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5. The operation was notified to the German, Austrian, and Irish competition authorities on May 15, 2017, which authorized it respectively on May 30, June 13, and June 15, 2017.</w:t>
      </w:r>
    </w:p>
    <w:p>
      <w:r>
        <w:t xml:space="preserve">II. Delimitation of relevant markets  </w:t>
        <w:br/>
        <w:t>6. The parties manufacture and distribute chemical products. In this sector, national2 and European3 decision-making practice traditionally distinguishes between the manufacturing (A) and distribution (B) of chemical products.</w:t>
      </w:r>
    </w:p>
    <w:p>
      <w:r>
        <w:t xml:space="preserve">A. MARKETS FOR THE MANUFACTURE OF CHEMICAL PRODUCTS  </w:t>
        <w:br/>
        <w:t xml:space="preserve">1. PRODUCT MARKETS  </w:t>
        <w:br/>
        <w:t xml:space="preserve">7. The parties produce chemical products (a), notably through the commercial process of contract manufacturing (b).  </w:t>
        <w:br/>
        <w:t xml:space="preserve">a) Chemical products  </w:t>
        <w:br/>
        <w:t xml:space="preserve">8. Chemical products can be classified into two categories: basic chemicals, or chemical commodities, and specialty chemicals, the latter including active ingredients or principles.  </w:t>
        <w:br/>
        <w:t>9. However, given the low substitutability between chemical products, both on the supply and demand sides, the European Commission considers that the market for the manufacture of chemical products can be subdivided into as many markets as there are products4.</w:t>
      </w:r>
    </w:p>
    <w:p>
      <w:r>
        <w:t xml:space="preserve">10. Furthermore, it has identified a market for active pharmaceutical ingredients ("API")5. These APIs themselves are derived from chemical or biological products and are intended for the manufacture of medicines.  </w:t>
        <w:br/>
        <w:t xml:space="preserve">11. Additionally, competition authorities have considered that each API is likely to form a relevant product market, without excluding the substitutability of certain APIs among themselves, for all or part of the application ranges6.  </w:t>
        <w:br/>
        <w:t xml:space="preserve">b) Contract manufacturing  </w:t>
        <w:br/>
        <w:t xml:space="preserve">12. The parties indicate that they are present in the markets for custom synthesis services of chemical products (including APIs). To their knowledge, this market has never been identified: only the process of contract manufacturing of finished pharmaceutical products has been examined.  </w:t>
        <w:br/>
        <w:t xml:space="preserve">13. The Competition Authority has indeed already recognized the existence of a market for contract manufacturing of finished pharmaceutical products7. It notably notes that "contract manufacturing of finished pharmaceutical products may include the final packaging of the product on behalf of a third-party pharmaceutical company. This third party may then market the finished products under its own label or brand. Such a market therefore excludes the manufacture of active pharmaceutical ingredients, as these active ingredients are generally not manufactured on a contractual basis and can generally be obtained from a wide variety of supply sources. Several contract manufacturing markets can be defined, each market corresponding to the pharmaceutical form that is manufactured as well as, in some cases, to the manufacturing conditions (types of APIs involved in the process, toxicity, sterile environment, etc.)"8.  </w:t>
        <w:br/>
        <w:t xml:space="preserve">14. In this case, this analysis can be transposable to the chemical products sector.  </w:t>
        <w:br/>
        <w:t>15. However, the exact delimitation of these markets can be left open, insofar as the conclusions of the competitive analysis remain unchanged, regardless of the definitions adopted.</w:t>
      </w:r>
    </w:p>
    <w:p>
      <w:r>
        <w:t xml:space="preserve">2. GEOGRAPHICAL MARKETS  </w:t>
        <w:br/>
        <w:t xml:space="preserve">16. According to decision-making practice, the geographical dimension of the markets for the manufacture of chemical products is at least European9.  </w:t>
        <w:br/>
        <w:t>17. Regarding the provision of contract manufacturing services, competition authorities have retained at least a European dimension10.</w:t>
      </w:r>
    </w:p>
    <w:p>
      <w:r>
        <w:rPr>
          <w:b/>
        </w:rPr>
        <w:t>[Pages 4–5]</w:t>
      </w:r>
    </w:p>
    <w:p>
      <w:r>
        <w:t>18. The exact definition of these markets can, however, be left open, insofar as the conclusions of the competitive analysis remain unchanged regardless of the boundaries adopted.</w:t>
      </w:r>
    </w:p>
    <w:p>
      <w:r>
        <w:t>B. CHEMICAL PRODUCT DISTRIBUTION MARKETS</w:t>
      </w:r>
    </w:p>
    <w:p>
      <w:r>
        <w:t>1. SERVICE MARKETS</w:t>
      </w:r>
    </w:p>
    <w:p>
      <w:r>
        <w:t>19. Within the distribution of chemical products, the decision-making practice of competition authorities has distinguished between the type of product, including the market for the distribution of specialty chemicals, the market for the distribution of bulk chemicals, and the market for the distribution of basic chemicals11.</w:t>
      </w:r>
    </w:p>
    <w:p>
      <w:r>
        <w:t>20. For its part, the Authority has also considered a distinction between the market for the direct distribution of specialty chemicals and active ingredients by manufacturers only and the market for distribution by distributors12. It has also considered that segmentation may be envisaged based on the type of industry to which the products are sold, namely, the cosmetic, pharmaceutical, chemical, and agri-food industries13.</w:t>
      </w:r>
    </w:p>
    <w:p>
      <w:r>
        <w:t>21. In this case, the exact delimitation of these markets can be left open, insofar as, regardless of the segmentation considered, the conclusions of the competitive analysis remain unchanged.</w:t>
      </w:r>
    </w:p>
    <w:p>
      <w:r>
        <w:t>2. GEOGRAPHICAL MARKETS</w:t>
      </w:r>
    </w:p>
    <w:p>
      <w:r>
        <w:t>22. Competition authorities have considered that the markets for the distribution of chemical products are at least national in scope14.</w:t>
      </w:r>
    </w:p>
    <w:p>
      <w:r>
        <w:t>23. The exact definition of these markets can, however, be left open, insofar as the conclusions of the competitive analysis remain unchanged regardless of the boundaries adopted.</w:t>
      </w:r>
    </w:p>
    <w:p>
      <w:r>
        <w:t>III. Competitive Analysis</w:t>
      </w:r>
    </w:p>
    <w:p>
      <w:r>
        <w:t>24. In the markets for the manufacture of chemical products, the parties are simultaneously active in contract manufacturing of specialty chemicals, on the one hand, and contract manufacturing of APIs, on the other.</w:t>
      </w:r>
    </w:p>
    <w:p>
      <w:r>
        <w:t>25. In these markets, the combined market share of the parties is below [0-5]% at the European or global levels, regardless of the segmentation adopted.</w:t>
      </w:r>
    </w:p>
    <w:p>
      <w:r>
        <w:t>26. Regarding the segments defined product by product, the operation does not give rise to any overlap, as the parties do not manufacture the same products.</w:t>
      </w:r>
    </w:p>
    <w:p>
      <w:r>
        <w:t>27. In the markets for the distribution of chemical products, the parties are simultaneously active in the distribution of specialty chemicals. They have a combined market share of less than [0-5]% at the national or European levels, regardless of the segmentation adopted.</w:t>
      </w:r>
    </w:p>
    <w:p>
      <w:r>
        <w:t>28. Consequently, the operation is not likely to lead to horizontal effects in the chemical product markets15.</w:t>
      </w:r>
    </w:p>
    <w:p>
      <w:r>
        <w:t>DECIDES</w:t>
      </w:r>
    </w:p>
    <w:p>
      <w:r>
        <w:t>Sole Article: The operation notified under number 17-099 is authorized.</w:t>
      </w:r>
    </w:p>
    <w:p>
      <w:r>
        <w:t>The Chairwoman,</w:t>
        <w:br/>
        <w:t>Isabelle de Silva</w:t>
      </w:r>
    </w:p>
    <w:p>
      <w:r>
        <w:t>© Competition Authority</w:t>
      </w:r>
    </w:p>
    <w:p>
      <w:r>
        <w:t>15 The operation is not likely to produce vertical effects given the very limited positions of the parties in the markets concerned by the operation. While Novacap has high market shares, but below 50%, in certain chemical manufacturing markets, any risk of competitor exclusion upstream and downstream can be ruled out given (i) the presence of numerous competing manufacturers able to supply distributors for these products and (ii) the marginal position of PCAS in the downstream markets.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