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https://www.autoritedelaconcurrence.fr/fr/decision-de-controle-des-concentrations/relative-la-prise-de-controle-exclusif-de-la-societe-perlu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11-DCC-42 of March 9, 2011  </w:t>
        <w:br/>
        <w:t xml:space="preserve">regarding the exclusive control acquisition of the company Perlu  </w:t>
        <w:br/>
        <w:t xml:space="preserve">by the company Système U Centrale Régionale Sud  </w:t>
        <w:br/>
        <w:t xml:space="preserve">The Competition Authority,  </w:t>
        <w:br/>
        <w:t xml:space="preserve">Having regard to the complete notification file submitted to the mergers department on February 16, 2011,  </w:t>
        <w:br/>
        <w:t xml:space="preserve">concerning the acquisition by the company Système U Centrale Régionale Sud of exclusive control of  </w:t>
        <w:br/>
        <w:t xml:space="preserve">the public limited company Perlu and its subsidiaries, formalized by agreements dated  </w:t>
        <w:br/>
        <w:t xml:space="preserve">February 8, 2011;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acquisition of exclusive control of SA Perlu, which operates two  </w:t>
        <w:br/>
        <w:t xml:space="preserve">supermarkets under the Super U brand in Fonbeauzard and Montrabé (31), by the company Système  </w:t>
        <w:br/>
        <w:t xml:space="preserve">U Centrale Régionale Sud and constitutes a concentration operation within the meaning of Article  </w:t>
        <w:br/>
        <w:t xml:space="preserve">L. 430-1 of the Commercial Code. Given the turnover achieved by the companies involved, the operation  </w:t>
        <w:br/>
        <w:t xml:space="preserve">does not have a community dimension. However, the control thresholds related to retail trade mentioned in  </w:t>
        <w:br/>
        <w:t xml:space="preserve">point II of Article L. 430-2 of the Commercial Code are exceeded. This operation is therefore subject to the  </w:t>
        <w:br/>
        <w:t xml:space="preserve">provisions of Articles L. 430-3 and following of the Commercial Code relating to economic concentration.  </w:t>
        <w:br/>
        <w:t>2. In light of the elements of the file, the operation is not likely to harm competition in the relevant markets.</w:t>
      </w:r>
    </w:p>
    <w:p>
      <w:r>
        <w:t xml:space="preserve">DECIDES  </w:t>
        <w:br/>
        <w:t xml:space="preserve">Sole Article: The operation notified under number 11-0029 is authorized.  </w:t>
        <w:br/>
        <w:t xml:space="preserve">The President,  </w:t>
        <w:br/>
        <w:t xml:space="preserve">Bruno Lasserre  </w:t>
        <w:br/>
        <w:t>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