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https://www.autoritedelaconcurrence.fr/fr/decision-de-controle-des-concentrations/relative-la-prise-de-controle-exclusif-de-la-societe-petit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25-DCC-247 of October 23, 2025  </w:t>
        <w:br/>
        <w:t xml:space="preserve">regarding the exclusive control of the company Petit Bateau  </w:t>
        <w:br/>
        <w:t xml:space="preserve">by Mr. Michael A. Reinstein (Regent group)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September 30, 2025, concerning the exclusive control of the company Petit Bateau by  </w:t>
        <w:br/>
        <w:t xml:space="preserve">Mr. Michael A. Reinstein, formalized by a unilateral purchase promise signed on July 30,  </w:t>
        <w:br/>
        <w:t xml:space="preserve">2025.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by Mr. Michael A. Reinstein, who  </w:t>
        <w:br/>
        <w:t xml:space="preserve">controls the private equity firm Regent L.P, of the company Petit Bateau. The sector  </w:t>
        <w:br/>
        <w:t xml:space="preserve">concerned by the operation is notably that of the distribution of clothing and underwear  </w:t>
        <w:br/>
        <w:t xml:space="preserve">for women and children. The portfolio of companies of the Regent group indeed includes the company  </w:t>
        <w:br/>
        <w:t xml:space="preserve">DIM Brands International, which distributes underwear under the DIM brand. Petit  </w:t>
        <w:br/>
        <w:t xml:space="preserve">Bateau produces and distributes clothing and underwear intended for children and  </w:t>
        <w:br/>
        <w:t xml:space="preserve">to a lesser extent for women.  </w:t>
        <w:br/>
        <w:t xml:space="preserve">2. The operation constitutes a concentration within the meaning of Article L. 430-1 of the Commercial Code.  </w:t>
        <w:br/>
        <w:t xml:space="preserve">Given the turnover achieved by the companies concerned, the operation does not fall  </w:t>
        <w:br/>
        <w:t xml:space="preserve">under the jurisdiction of the European Union. On the other hand, the control thresholds mentioned  </w:t>
        <w:br/>
        <w:t xml:space="preserve">in II of Article L. 430-2 of the Commercial Code are exceeded. The present operation is therefore  </w:t>
        <w:br/>
        <w:t xml:space="preserve">subject to the provisions of Articles L. 430-3 and following of the Commercial Code relating to  </w:t>
        <w:br/>
        <w:t xml:space="preserve">economic concentration.  </w:t>
        <w:br/>
        <w:t xml:space="preserve">3.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25-205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