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https://www.autoritedelaconcurrence.fr/fr/decision-de-controle-des-concentrations/relative-la-prise-de-controle-exclusif-de-la-societe-pierre</w:t>
      </w:r>
    </w:p>
    <w:p>
      <w:r>
        <w:t>Pages translated : 2</w:t>
      </w:r>
    </w:p>
    <w:p/>
    <w:p>
      <w:r>
        <w:rPr>
          <w:b/>
        </w:rPr>
        <w:t>[Pages 1–2]</w:t>
      </w:r>
    </w:p>
    <w:p>
      <w:r>
        <w:t xml:space="preserve">FRENCH REPUBLIC  </w:t>
        <w:br/>
        <w:t xml:space="preserve">Decision No. 16-DCC-224 of December 29, 2016  </w:t>
        <w:br/>
        <w:t xml:space="preserve">regarding the exclusive control acquisition of the company Pierre Brunet  </w:t>
        <w:br/>
        <w:t xml:space="preserve">Investissement operating five automotive vehicle distribution businesses by the Amplitude group  </w:t>
        <w:br/>
        <w:t xml:space="preserve">The Competition Authority,  </w:t>
        <w:br/>
        <w:t xml:space="preserve">Having regard to the complete notification file sent to the mergers department on December 9, 2016,  </w:t>
        <w:br/>
        <w:t xml:space="preserve">concerning the exclusive control acquisition of the company Pierre Brunet Investissement operating five  </w:t>
        <w:br/>
        <w:t xml:space="preserve">automotive vehicle distribution businesses by the Amplitude Group,  </w:t>
        <w:br/>
        <w:t xml:space="preserve">formalized by a sales contract dated October 18, 2016;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Pierre Brunet  </w:t>
        <w:br/>
        <w:t xml:space="preserve">Investissement which operates five automotive vehicle distribution businesses under the brands Opel and Kia located in the department of Seine-et-Marne (77) by the Amplitude group. This operation constitutes a concentration operation within the meaning of Article L. 430-1 of the Commercial Code. Given the turnover achieved by the companies involved, the operation does not fall under the jurisdiction of the European Union. On the other hand, the retail control thresholds mentioned in point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16-254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