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https://www.autoritedelaconcurrence.fr/fr/decision-de-controle-des-concentrations/relative-la-prise-de-controle-exclusif-de-la-societe-pigeon</w:t>
      </w:r>
    </w:p>
    <w:p>
      <w:r>
        <w:t>Pages translated : 2</w:t>
      </w:r>
    </w:p>
    <w:p/>
    <w:p>
      <w:r>
        <w:rPr>
          <w:b/>
        </w:rPr>
        <w:t>[Pages 1–2]</w:t>
      </w:r>
    </w:p>
    <w:p>
      <w:r>
        <w:t xml:space="preserve">FRENCH REPUBLIC  </w:t>
        <w:br/>
        <w:t xml:space="preserve">Decision No. 19-DCC-140 of July 12, 2019  </w:t>
        <w:br/>
        <w:t xml:space="preserve">regarding the exclusive control acquisition of Pigeon Holding by  </w:t>
        <w:br/>
        <w:t xml:space="preserve">Eden Auto  </w:t>
        <w:br/>
        <w:t xml:space="preserve">The Competition Authority,  </w:t>
        <w:br/>
        <w:t xml:space="preserve">Having regard to the notification file sent to the mergers department on June 7, 2019, declared  </w:t>
        <w:br/>
        <w:t xml:space="preserve">complete on June 21, 2019, concerning the exclusive control acquisition of Pigeon Holding by  </w:t>
        <w:br/>
        <w:t xml:space="preserve">Eden Auto, materialized by a sale agreement dated May 16, 2019;  </w:t>
        <w:br/>
        <w:t xml:space="preserve">Having regard to Book IV of the Commercial Code relating to the freedom of prices and competition, and  </w:t>
        <w:br/>
        <w:t xml:space="preserve">notably its Articles L. 430-1 to L. 430-7;  </w:t>
        <w:br/>
        <w:t xml:space="preserve">Having regard to the elements transmitted during the investigation by the notifying party;  </w:t>
        <w:br/>
        <w:t xml:space="preserve">Adopts the following decision:  </w:t>
        <w:br/>
        <w:t xml:space="preserve">1. The notified operation consists of the exclusive control acquisition by Eden Auto of the  </w:t>
        <w:br/>
        <w:t xml:space="preserve">company Pigeon Holding, which primarily operates several car dealerships of Nissan, Kia, and Opel brands, located in La Rochelle (17), Royan (17), Angoulême (16), La Teste-de-Buch (33), Langon (33), Villenave-d’Ornon (33), Libourne (33), and Bruges (33). It constitutes a concentration operation within the meaning of Article L. 430-1 of the Commercial Code. Given the turnover achieved by the concerned companies, the operation does not fall under the jurisdiction of the European Union. However, the retail trade control thresholds mentioned in point II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19-140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