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https://www.autoritedelaconcurrence.fr/fr/decision-de-controle-des-concentrations/relative-la-prise-de-controle-exclusif-de-la-societe-plum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22-DCC-02 of January 7, 2022</w:t>
        <w:br/>
        <w:t>regarding the exclusive control acquisition of the company Plüm Énergie by the</w:t>
        <w:br/>
        <w:t>company Octopus Energy Group Limited</w:t>
        <w:br/>
        <w:t>The Competition Authority,</w:t>
        <w:br/>
        <w:t>Having regard to the complete notification file submitted to the mergers department on</w:t>
        <w:br/>
        <w:t>December 23, 2021, concerning the exclusive control acquisition of the company Plüm Énergie by the company</w:t>
        <w:br/>
        <w:t>Octopus Energy Group Limited, a company belonging to the Octopus group, formalized by a</w:t>
        <w:br/>
        <w:t>share purchase agreement signed on December 2, 2021;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by the company Octopus Energy</w:t>
        <w:br/>
        <w:t>Group Limited of the company Plüm Énergie, which is notably active in the</w:t>
        <w:br/>
        <w:t>trading and supply of electricity. It constitutes a concentration operation within the meaning of</w:t>
        <w:br/>
        <w:t>Article L. 430-1 of the Commercial Code. Given the turnover generated by the</w:t>
        <w:br/>
        <w:t>concerned companies, the operation does not fall under the jurisdiction of the European Union. However, the control thresholds mentioned in I of Article L. 430-2 of the Commercial Code are exceeded. The present operation is therefore subject to the provisions of Articles L. 430-3 and</w:t>
        <w:br/>
        <w:t>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21-293 is authorized.</w:t>
        <w:br/>
        <w:t>The interim president,</w:t>
        <w:br/>
        <w:t>Emmanuel Combe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