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https://www.autoritedelaconcurrence.fr/fr/decision-de-controle-des-concentrations/relative-la-prise-de-controle-exclusif-de-la-societe-polo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23-DCC-123 of June 16, 2023  </w:t>
        <w:br/>
        <w:t xml:space="preserve">regarding the exclusive control acquisition of the company polo group GmbH  </w:t>
        <w:br/>
        <w:t xml:space="preserve">by the company Ares Management Corporation  </w:t>
        <w:br/>
        <w:t xml:space="preserve">The Competition Authority,  </w:t>
        <w:br/>
        <w:t xml:space="preserve">Having regard to the complete notification file sent to the mergers department on May 24, 2023  </w:t>
        <w:br/>
        <w:t xml:space="preserve">concerning the exclusive control acquisition of the company polo group GmbH and its subsidiaries by the  </w:t>
        <w:br/>
        <w:t xml:space="preserve">company Ares Management Corporation formalized by a purchase agreement signed on  </w:t>
        <w:br/>
        <w:t xml:space="preserve">May 4,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the company Ares Management  </w:t>
        <w:br/>
        <w:t xml:space="preserve">Corporation of the company polo group GmbH and its subsidiaries, which are active in the  </w:t>
        <w:br/>
        <w:t xml:space="preserve">markets of retail distribution of clothing, helmets and glasses for motorcycles, and spare parts  </w:t>
        <w:br/>
        <w:t xml:space="preserve">for motorcycles. It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23-144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